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  <w:rPr>
          <w:rFonts w:ascii="Arial" w:cs="Arial" w:eastAsia="Arial" w:hAnsi="Arial"/>
          <w:b/>
          <w:bCs/>
          <w:color w:val="1D2B4F"/>
          <w:sz w:val="36"/>
          <w:szCs w:val="36"/>
        </w:rPr>
      </w:pPr>
      <w:r>
        <w:t xml:space="preserve">FG-AINN-I-236 Presentation Script (English)</w:t>
      </w:r>
    </w:p>
    <w:p>
      <w:pPr>
        <w:spacing w:after="200"/>
      </w:pP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1]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Title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Good morning, distinguished delegates.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My name is Changho Song, and I am presenting FG-AINN-I-236: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"Proposal for Structurally Embedded AI and Decentralized Governance in IMT-2030 Networks."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contribution addresses Work Item C — Structurally Embedded AI, and Work Item D — Projection-Based Sovereign Governance.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These two work items complement FG-AINN-I-237, which covers the network architecture and mathematical foundations.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Together they form a complete structural framework for IMT-2030.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core message: AI must be structural — not a service applied after the fact.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2]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Why AI-as-Overlay Cannot Work for IMT-2030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 all existing network architectures, AI is applied as an external service layer.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models receive data, process it, and return decisions through software APIs.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model introduces three structural problems that cannot be resolved by optimization.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Inference Latency: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decisions travel through multiple software layers before affecting network behaviour.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incompatible with the IMT-2030 requirement of sub-0.1 millisecond latency.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Authority Ambiguity: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There is no structural definition of which AI system has authority over which network domain.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Conflicts are resolved by software policy — not by architecture.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Trust Boundary Violation: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systems operating across network domains lack structurally enforced isolation.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creates potential for cross-domain interference that policy cannot reliably prevent.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 all existing architectures, AI correctness is a software property — not a structural invariant.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changes this.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3]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Velsanet — Five Work Items for IMT-2030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contribution is part of a complete five-item structural framework for IMT-2030.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I-237 covers Work Items A, B, and E — the network architecture, optical connectivity, and mathematical foundations.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document — I-236 — covers Work Items C and D: embedded AI and sovereign governance.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C: Embedded AI — PAI, AAI, and AsAI are structurally bound to topological domains.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D: Governance — national sovereignty encoded as a structural invariant via Q7 projection.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4]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Alignment with ITU-T Y.3001 and ITU-R M.2160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directly addresses the AI-related IMT-2030 requirements.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Sub-0.1 ms latency: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Deterministic Parallelism eliminates packet queuing. AI operates at hardware speed with no API boundary.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Native AI integration: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PAI, AAI, and AsAI are structurally embedded at each polyhedral tier. AI correctness is architectural, not behavioural.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10 million connection density per square kilometre: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non-collision constraint ensures no contention. AI decisions are never delayed by load.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Service awareness per Y.3001: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Network AI self-governs through structural projection rules — no centralized policy coordination required.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Zero-trust security: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Trust is established through structural conformance. AI authority is verifiable by structural inspection — not by certificates.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5]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Work Item C — Structurally Embedded AI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 C proposes a three-layer distributed AI architecture natively embedded in the network topology.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 Velsanet, AI is not an external service. Each layer is structurally bound to its topological domain.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PAI — Personal AI, at the O8 Octahedron node (city-scale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 interprets individual intent. It manages optical core allocation, path integrity, and hardware anomaly detection.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It executes at hardware speed. Its scope is the city and access layer.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AAI — Agent AI, at the D12 Dodecahedron node (regional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AAI is the social validation gateway. It coordinates multi-node path establishment and inter-domain transitions.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Its authority is bounded by its topological region.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AsAI — Assistant AI, at the I20 Icosahedron node (national E2E):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AsAI executes only AAI-authorized requests. It coordinates cross-domain operations and long-range path optimization.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It has no direct relationship with any individual.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Safety Chain: PAI interprets intent → AAI validates socially → AsAI executes.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Direct PAI to AsAI access is structurally impossible.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6]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AI Safety Chain — Structural Authority by Architecture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slide explains why the three-layer structure is a safety chain — not a pipeline.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PAI — The Interpretation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 belongs to the individual. It transforms raw intent into a structured, contextualized request.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PAI cannot execute. It can only pass interpreted intent to AAI.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There is no direct path from PAI to AsAI.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AAI — The Social Validation Gateway: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AAI receives interpreted intent from PAI and evaluates it against social, ethical, legal, and policy constraints.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If the request is inconsistent with prevailing norms, it is refused. No override mechanism exists.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No intent reaches AsAI without passing through AAI.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AsAI — The Execution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AsAI receives only AAI-authorized requests. It has no direct relationship with any individual.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It operates at infrastructure scale, coordinating multiple AAI instances.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Direct access from PAI is structurally impossible — this is not a policy restriction, it is an architectural fact.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Principle: A rule can be broken. An architectural impossibility cannot.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7]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Work Item D — Projection-Based Sovereign Governance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 D proposes a hierarchical projection model for global network governance without centralized control.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Global governance is achieved through a Q7 hypercube structure with six defined layers: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Q2 — Global layer: inter-continental coordination.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Q3 — Continental layer: regional bloc coordination.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Q4 — National layer: the sovereign boundary, encoded as a structural invariant.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Q5 — Regional layer: sub-national administrative domains.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Q6 — City layer: urban network management.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— District layer: local network operation.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critical point is Q4.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Cross-national communication — data or control signals traversing a national boundary — requires structural authorization defined at the Q4 interface.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not a policy check. It is enforced by the architecture itself.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Sovereignty cannot be bypassed, renegotiated, or violated through software.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8]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Decentralized Global Coherence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Q7 hypercube structure provides three critical governance guarantees.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Hypercube: Q⁷ = ({0,1}⁷, E), where (u,v) ∈ E if and only if |u⊕v| = 1.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Bisection bandwidth equals 64.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No single point of failure. No single point of control. Structural locality guaranteed.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Structural Sovereignty at Q4: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National sovereignty is a structural invariant.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Cross-Q4 data and control requires structural authorization — not software policy.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Sovereignty is enforced by the architecture — not by agreements that can be bypassed.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Why This Matters for AI: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governance follows the same projection rules as network governance.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No AI system can exceed its topologically defined authority boundary.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 governance is verifiable — not declarative.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the foundation for trustworthy global AI governance without centralized control.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9]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Proposed Work Items for FG-AINN Consideration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respectfully request FG-AINN to initiate study of the following Work Items.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C — Structurally Embedded AI: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Study of three-layer distributed AI architecture — PAI, AAI, AsAI — native to network topology.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Definition of structural authority boundaries for AI systems.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Comparison with external AI overlay models in terms of latency, trust, and governance.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D — Projection-Based Sovereign Governance: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Study of hierarchical projection model Q2 through Q7 for global network coordination without centralized control.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Evaluation of structural sovereignty encoding at the national layer Q4.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Comparison with policy-based governance models.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These work items complement FG-AINN-I-237 — together forming a complete structural framework for IMT-2030.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10]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Summary and Closing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 summarise, Velsanet proposes that AI governance must be: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Structurally embedded — (Work Item C) — not applied as an external overlay.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Authority-bounded — (Work Item C) — each AI layer confined to its topological domain.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Sovereignty-preserving — (Work Item D) — national boundaries encoded as structural invariants.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These are not design preferences. They are architectural requirements for trustworthy AI at IMT-2030 scale.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respectfully invite FG-AINN to initiate study of Work Items C and D.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Thank you. I welcome questions from the floor.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Technical white papers are available at: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github.com/joa337/velsanet-whitepapers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joa337.github.io/velsanet-whitepapers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2026-04-09T09:19:16.393Z</dcterms:created>
  <dcterms:modified xsi:type="dcterms:W3CDTF">2026-04-09T09:19:16.393Z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