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WP#30 — Network Equipment RTL &amp; Physical Design (Switching/Routing)</w:t>
      </w:r>
    </w:p>
    <w:p>
      <w:pPr>
        <w:spacing w:after="160"/>
      </w:pPr>
      <w:r>
        <w:rPr>
          <w:b w:val="false"/>
          <w:bCs w:val="false"/>
          <w:i/>
          <w:iCs/>
          <w:sz w:val="22"/>
          <w:szCs w:val="22"/>
        </w:rPr>
        <w:t xml:space="preserve">Matrix Switching/Routing RTL · Register Interfaces · Semiconductor Physical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8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19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drafted, 18 open items remain before Complete status; OI-30-17 reframed as vendor-agnostic qualification (§7.2.1), candidate screening reference added (§7.2.2)</w:t>
            </w:r>
          </w:p>
        </w:tc>
        <w:tc>
          <w:tcPr>
            <w:tcW w:type="dxa" w:w="1800"/>
          </w:tcPr>
          <w:p>
            <w:r>
              <w:rPr>
                <w:b w:val="false"/>
                <w:bCs w:val="false"/>
                <w:sz w:val="20"/>
                <w:szCs w:val="20"/>
              </w:rPr>
              <w:t xml:space="preserve">v1.5 │ 2026</w:t>
            </w:r>
          </w:p>
        </w:tc>
        <w:tc>
          <w:tcPr>
            <w:tcW w:type="dxa" w:w="3200"/>
          </w:tcPr>
          <w:p>
            <w:r>
              <w:rPr>
                <w:b w:val="false"/>
                <w:bCs w:val="false"/>
                <w:sz w:val="20"/>
                <w:szCs w:val="20"/>
              </w:rPr>
              <w:t xml:space="preserve">Node-to-node switching/routing RTL for the Multi-Layer Multi-Plane Matrix; register/signal interfaces to WP#26 and to the Node Intelligence NPU; Matrix physical implementation (semiconductor circuit design, FPGA→ASIC process migration, die-level layout)</w:t>
            </w:r>
          </w:p>
        </w:tc>
        <w:tc>
          <w:tcPr>
            <w:tcW w:type="dxa" w:w="1960"/>
          </w:tcPr>
          <w:p>
            <w:r>
              <w:rPr>
                <w:b w:val="false"/>
                <w:bCs w:val="false"/>
                <w:sz w:val="20"/>
                <w:szCs w:val="20"/>
              </w:rPr>
              <w:t xml:space="preserve">Resolves WP#29 OI-29-01, OI-29-03, OI-29-20; extends WP#29 §3, §10.7.11; follows WP#26's RTL/FPGA-ASIC document pattern;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was started as a skeleton (v0.1) and is being filled in section by section, per 창호's stated order: interface definition first (Sections 3.1, 4, 6), then message encoding (5), RTL module breakdown (3.2+), timing (8), physical design (7), validation (9). Structure and naming are fixed before numbers — register bit-fields, message encoding, and physical-design numbers are added only once the logic they encode is settled, per 창호's explicit principle. No Velsanet-specific number appears in this draft unless it was already fixed in a prior document or explicitly confirmed by 창호 this session.</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WP#30 is the RTL and physical-design counterpart to WP#26 for node-level (inter-node) switching and routing, as distinct from WP#26's intra-node SEU1/SEU2 RTL. It was first proposed at WP#29 §12 (Table 12-1) and its scope was fixed at WP#29 R7: node-to-node switching/routing RTL for the Multi-Layer Multi-Plane Matrix (WP#29 §3), plus the Matrix's physical implementation — semiconductor circuit design, FPGA→ASIC process migration, and die-level layout — explicitly distinguished from WP#32's board-level (PCB) layout.</w:t>
      </w:r>
    </w:p>
    <w:p>
      <w:pPr>
        <w:spacing w:after="160"/>
      </w:pPr>
      <w:r>
        <w:rPr>
          <w:b w:val="false"/>
          <w:bCs w:val="false"/>
          <w:i w:val="false"/>
          <w:iCs w:val="false"/>
          <w:sz w:val="22"/>
          <w:szCs w:val="22"/>
        </w:rPr>
        <w:t xml:space="preserve">This document exists specifically to resolve three open items already registered against it in WP#29's Open Items Register (Section 11): OI-29-01 (node-to-Dedicated-Equipment register/signal interface), OI-29-03 (negotiation message bit-level encoding), and OI-29-20 (NPU–Matrix command interface).</w:t>
      </w:r>
    </w:p>
    <w:p>
      <w:pPr>
        <w:spacing w:after="160"/>
      </w:pPr>
      <w:r>
        <w:rPr>
          <w:b w:val="false"/>
          <w:bCs w:val="false"/>
          <w:i w:val="false"/>
          <w:iCs w:val="false"/>
          <w:sz w:val="22"/>
          <w:szCs w:val="22"/>
        </w:rPr>
        <w:t xml:space="preserve">Scope includes: Matrix switching/routing RTL architecture (Section 3); the node-to-Dedicated-Equipment register interface (Section 4); Core Stack negotiation message encoding (Section 5); the NPU–Matrix command interface (Section 6); Matrix physical implementation — circuit design, FPGA→ASIC migration, die-level layout (Section 7); timing analysis (Section 8); and hardware validation strategy (Section 9).</w:t>
      </w:r>
    </w:p>
    <w:p>
      <w:pPr>
        <w:spacing w:after="160"/>
      </w:pPr>
      <w:r>
        <w:rPr>
          <w:b w:val="false"/>
          <w:bCs w:val="false"/>
          <w:i w:val="false"/>
          <w:iCs w:val="false"/>
          <w:sz w:val="22"/>
          <w:szCs w:val="22"/>
        </w:rPr>
        <w:t xml:space="preserve">Out of scope: the SEU1/SEU2 RTL engines themselves (WP#26, unchanged here); node equipment's logical/electrical architecture and physical form factor at the board/chassis level (WP#29, unchanged here); schematic, BOM, and PCB-level layout (WP#31–32);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v1.6 (R7)</w:t>
            </w:r>
          </w:p>
        </w:tc>
      </w:tr>
      <w:tr>
        <w:tc>
          <w:tcPr>
            <w:tcW w:type="dxa" w:w="1800"/>
          </w:tcPr>
          <w:p>
            <w:r>
              <w:rPr>
                <w:b w:val="false"/>
                <w:bCs w:val="false"/>
                <w:sz w:val="20"/>
                <w:szCs w:val="20"/>
              </w:rPr>
              <w:t xml:space="preserve">WP #30 (this document)</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v1.5, OI-30-17 resolved (16nm-class)</w:t>
            </w:r>
          </w:p>
        </w:tc>
      </w:tr>
      <w:tr>
        <w:tc>
          <w:tcPr>
            <w:tcW w:type="dxa" w:w="1800"/>
          </w:tcPr>
          <w:p>
            <w:r>
              <w:rPr>
                <w:b w:val="false"/>
                <w:bCs w:val="false"/>
                <w:sz w:val="20"/>
                <w:szCs w:val="20"/>
              </w:rPr>
              <w:t xml:space="preserve">WP #31 (proposed)</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800G transceiver, FPGA/ASIC, power circuit connections</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WP#30 (skeleton)</w:t>
      </w:r>
    </w:p>
    <w:p>
      <w:pPr>
        <w:pStyle w:val="Heading1"/>
        <w:spacing w:after="160" w:before="280"/>
      </w:pPr>
      <w:r>
        <w:rPr>
          <w:b/>
          <w:bCs/>
        </w:rPr>
        <w:t xml:space="preserve">3. Matrix Switching/Routing RTL Architecture</w:t>
      </w:r>
    </w:p>
    <w:p>
      <w:pPr>
        <w:spacing w:after="160"/>
      </w:pPr>
      <w:r>
        <w:rPr>
          <w:b w:val="false"/>
          <w:bCs w:val="false"/>
          <w:i w:val="false"/>
          <w:iCs w:val="false"/>
          <w:sz w:val="22"/>
          <w:szCs w:val="22"/>
        </w:rPr>
        <w:t xml:space="preserve">Scope: RTL-level realization of the Multi-Layer Multi-Plane Matrix's node-equipment behavior, as defined at the architecture level in WP#29 §3 (channel switching and multi-directional transmission between O8/D12/I20 nodes) and §10.7.1 (Pass function — O/E-EO conversion, active forwarding, deterministic latency).</w:t>
      </w:r>
    </w:p>
    <w:p>
      <w:pPr>
        <w:pStyle w:val="Heading2"/>
        <w:spacing w:after="160" w:before="280"/>
      </w:pPr>
      <w:r>
        <w:rPr>
          <w:b/>
          <w:bCs/>
        </w:rPr>
        <w:t xml:space="preserve">3.1 Monitor Channel Definition</w:t>
      </w:r>
    </w:p>
    <w:p>
      <w:pPr>
        <w:spacing w:after="160"/>
      </w:pPr>
      <w:r>
        <w:rPr>
          <w:b w:val="false"/>
          <w:bCs w:val="false"/>
          <w:i w:val="false"/>
          <w:iCs w:val="false"/>
          <w:sz w:val="22"/>
          <w:szCs w:val="22"/>
        </w:rPr>
        <w:t xml:space="preserve">Per 창호. This section resolves a naming collision surfaced during drafting: WP#20 §4.2 already fixes "Channel 1" as the Self-Awareness Bootstrap channel — a one-time, passive, deterministic negotiation that completes before any data transmission begins (device authentication, physical alignment verification, structural identity exchange). The always-on link-monitoring/switch-trigger channel needed for Matrix RTL is a distinct mechanism and is given a distinct name below to avoid conflating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ID</w:t>
            </w:r>
          </w:p>
        </w:tc>
        <w:tc>
          <w:tcPr>
            <w:tcW w:type="dxa" w:w="2400"/>
            <w:shd w:fill="D9D9D9" w:val="clear"/>
          </w:tcPr>
          <w:p>
            <w:r>
              <w:rPr>
                <w:b/>
                <w:bCs/>
                <w:sz w:val="20"/>
                <w:szCs w:val="20"/>
              </w:rPr>
              <w:t xml:space="preserve">Defined In</w:t>
            </w:r>
          </w:p>
        </w:tc>
        <w:tc>
          <w:tcPr>
            <w:tcW w:type="dxa" w:w="4960"/>
            <w:shd w:fill="D9D9D9" w:val="clear"/>
          </w:tcPr>
          <w:p>
            <w:r>
              <w:rPr>
                <w:b/>
                <w:bCs/>
                <w:sz w:val="20"/>
                <w:szCs w:val="20"/>
              </w:rPr>
              <w:t xml:space="preserve">Role</w:t>
            </w:r>
          </w:p>
        </w:tc>
      </w:tr>
      <w:tr>
        <w:tc>
          <w:tcPr>
            <w:tcW w:type="dxa" w:w="2000"/>
          </w:tcPr>
          <w:p>
            <w:r>
              <w:rPr>
                <w:b w:val="false"/>
                <w:bCs w:val="false"/>
                <w:sz w:val="20"/>
                <w:szCs w:val="20"/>
              </w:rPr>
              <w:t xml:space="preserve">BOOTSTRAP_CH</w:t>
            </w:r>
          </w:p>
        </w:tc>
        <w:tc>
          <w:tcPr>
            <w:tcW w:type="dxa" w:w="2400"/>
          </w:tcPr>
          <w:p>
            <w:r>
              <w:rPr>
                <w:b w:val="false"/>
                <w:bCs w:val="false"/>
                <w:sz w:val="20"/>
                <w:szCs w:val="20"/>
              </w:rPr>
              <w:t xml:space="preserve">WP#20 §4.2 (unchanged)</w:t>
            </w:r>
          </w:p>
        </w:tc>
        <w:tc>
          <w:tcPr>
            <w:tcW w:type="dxa" w:w="4960"/>
          </w:tcPr>
          <w:p>
            <w:r>
              <w:rPr>
                <w:b w:val="false"/>
                <w:bCs w:val="false"/>
                <w:sz w:val="20"/>
                <w:szCs w:val="20"/>
              </w:rPr>
              <w:t xml:space="preserve">Equipment registration and initialization negotiation. Active once, at node initialization; completes before any data transmission begins.</w:t>
            </w:r>
          </w:p>
        </w:tc>
      </w:tr>
      <w:tr>
        <w:tc>
          <w:tcPr>
            <w:tcW w:type="dxa" w:w="2000"/>
          </w:tcPr>
          <w:p>
            <w:r>
              <w:rPr>
                <w:b w:val="false"/>
                <w:bCs w:val="false"/>
                <w:sz w:val="20"/>
                <w:szCs w:val="20"/>
              </w:rPr>
              <w:t xml:space="preserve">MONITOR_CH</w:t>
            </w:r>
          </w:p>
        </w:tc>
        <w:tc>
          <w:tcPr>
            <w:tcW w:type="dxa" w:w="2400"/>
          </w:tcPr>
          <w:p>
            <w:r>
              <w:rPr>
                <w:b w:val="false"/>
                <w:bCs w:val="false"/>
                <w:sz w:val="20"/>
                <w:szCs w:val="20"/>
              </w:rPr>
              <w:t xml:space="preserve">WP#30 (new, this section)</w:t>
            </w:r>
          </w:p>
        </w:tc>
        <w:tc>
          <w:tcPr>
            <w:tcW w:type="dxa" w:w="4960"/>
          </w:tcPr>
          <w:p>
            <w:r>
              <w:rPr>
                <w:b w:val="false"/>
                <w:bCs w:val="false"/>
                <w:sz w:val="20"/>
                <w:szCs w:val="20"/>
              </w:rPr>
              <w:t xml:space="preserve">Real-time optical link monitoring and switch-trigger channel for Matrix switching control. Active continuously, independent of BOOTSTRAP_CH.</w:t>
            </w:r>
          </w:p>
        </w:tc>
      </w:tr>
    </w:tbl>
    <w:p>
      <w:pPr>
        <w:spacing w:after="200"/>
      </w:pPr>
      <w:r>
        <w:rPr>
          <w:i/>
          <w:iCs/>
          <w:sz w:val="20"/>
          <w:szCs w:val="20"/>
        </w:rPr>
        <w:t xml:space="preserve">Table 3-1. BOOTSTRAP_CH vs. MONITOR_CH — disambiguation</w:t>
      </w:r>
    </w:p>
    <w:p>
      <w:pPr>
        <w:pStyle w:val="Heading3"/>
        <w:spacing w:after="160" w:before="280"/>
      </w:pPr>
      <w:r>
        <w:rPr>
          <w:b/>
          <w:bCs/>
        </w:rPr>
        <w:t xml:space="preserve">3.1.1 Naming and ID</w:t>
      </w:r>
    </w:p>
    <w:p>
      <w:pPr>
        <w:spacing w:after="160"/>
      </w:pPr>
      <w:r>
        <w:rPr>
          <w:b w:val="false"/>
          <w:bCs w:val="false"/>
          <w:i w:val="false"/>
          <w:iCs w:val="false"/>
          <w:sz w:val="22"/>
          <w:szCs w:val="22"/>
        </w:rPr>
        <w:t xml:space="preserve">MONITOR_CH is the RTL-level name for the mechanism WP#29 described conceptually at §10.7.2 ("Matrix detects a physical-layer condition → reports to the NPU") and §10.7.11 (NPU–Matrix command interface, OI-29-20). This section gives that mechanism a fixed name and channel role so later sections (register map, RTL data path) have a stable reference point; it does not change WP#29's architecture, only implements it.</w:t>
      </w:r>
    </w:p>
    <w:p>
      <w:pPr>
        <w:pStyle w:val="Heading3"/>
        <w:spacing w:after="160" w:before="280"/>
      </w:pPr>
      <w:r>
        <w:rPr>
          <w:b/>
          <w:bCs/>
        </w:rPr>
        <w:t xml:space="preserve">3.1.2 Functional Role</w:t>
      </w:r>
    </w:p>
    <w:p>
      <w:pPr>
        <w:spacing w:after="160"/>
      </w:pPr>
      <w:r>
        <w:rPr>
          <w:b w:val="false"/>
          <w:bCs w:val="false"/>
          <w:i w:val="false"/>
          <w:iCs w:val="false"/>
          <w:sz w:val="22"/>
          <w:szCs w:val="22"/>
        </w:rPr>
        <w:t xml:space="preserve">MONITOR_CH receives incoming signals from the external optical core and triggers internal Matrix switching decisions. It operates continuously after BOOTSTRAP_CH completes, independent of the bootstrap negotiation channel — the two never share state or timing.</w:t>
      </w:r>
    </w:p>
    <w:p>
      <w:pPr>
        <w:pStyle w:val="Heading3"/>
        <w:spacing w:after="160" w:before="280"/>
      </w:pPr>
      <w:r>
        <w:rPr>
          <w:b/>
          <w:bCs/>
        </w:rPr>
        <w:t xml:space="preserve">3.1.3 RTL Interface</w:t>
      </w:r>
    </w:p>
    <w:p>
      <w:pPr>
        <w:spacing w:after="160"/>
      </w:pPr>
      <w:r>
        <w:rPr>
          <w:b w:val="false"/>
          <w:bCs w:val="false"/>
          <w:i w:val="false"/>
          <w:iCs w:val="false"/>
          <w:sz w:val="22"/>
          <w:szCs w:val="22"/>
        </w:rPr>
        <w:t xml:space="preserve">The received signal is delivered to the Matrix switch control logic via a dedicated RTL interface. The signal is interpreted as a fixed-format control word containing: link status (LOS/BER, per WP#29 §10.7.2); incoming face/slot identifier (per WP#29 §10.7.3's slot structure); and requested switching action, where applicable.</w:t>
      </w:r>
    </w:p>
    <w:p>
      <w:pPr>
        <w:spacing w:after="160"/>
      </w:pPr>
      <w:r>
        <w:rPr>
          <w:b w:val="false"/>
          <w:bCs w:val="false"/>
          <w:i w:val="false"/>
          <w:iCs w:val="false"/>
          <w:sz w:val="22"/>
          <w:szCs w:val="22"/>
        </w:rPr>
        <w:t xml:space="preserve">MONITOR_CH exposes three 32-bit registers, per 창호's confirmation this session that register width follows the existing WP#24 Table 1-1 convention (WORM_CTRL, WORM_STATUS/ECC, WORM_AUDIT_PTR are all 32-bit).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Register</w:t>
            </w:r>
          </w:p>
        </w:tc>
        <w:tc>
          <w:tcPr>
            <w:tcW w:type="dxa" w:w="2200"/>
            <w:shd w:fill="D9D9D9" w:val="clear"/>
          </w:tcPr>
          <w:p>
            <w:r>
              <w:rPr>
                <w:b/>
                <w:bCs/>
                <w:sz w:val="20"/>
                <w:szCs w:val="20"/>
              </w:rPr>
              <w:t xml:space="preserve">Width</w:t>
            </w:r>
          </w:p>
        </w:tc>
        <w:tc>
          <w:tcPr>
            <w:tcW w:type="dxa" w:w="4560"/>
            <w:shd w:fill="D9D9D9" w:val="clear"/>
          </w:tcPr>
          <w:p>
            <w:r>
              <w:rPr>
                <w:b/>
                <w:bCs/>
                <w:sz w:val="20"/>
                <w:szCs w:val="20"/>
              </w:rPr>
              <w:t xml:space="preserve">Field Content</w:t>
            </w:r>
          </w:p>
        </w:tc>
      </w:tr>
      <w:tr>
        <w:tc>
          <w:tcPr>
            <w:tcW w:type="dxa" w:w="2600"/>
          </w:tcPr>
          <w:p>
            <w:r>
              <w:rPr>
                <w:b w:val="false"/>
                <w:bCs w:val="false"/>
                <w:sz w:val="20"/>
                <w:szCs w:val="20"/>
              </w:rPr>
              <w:t xml:space="preserve">MONITOR_EVENT_REG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 below.</w:t>
            </w:r>
          </w:p>
        </w:tc>
      </w:tr>
      <w:tr>
        <w:tc>
          <w:tcPr>
            <w:tcW w:type="dxa" w:w="2600"/>
          </w:tcPr>
          <w:p>
            <w:r>
              <w:rPr>
                <w:b w:val="false"/>
                <w:bCs w:val="false"/>
                <w:sz w:val="20"/>
                <w:szCs w:val="20"/>
              </w:rPr>
              <w:t xml:space="preserve">MONITOR_STATUS_REG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3-2c below.</w:t>
            </w:r>
          </w:p>
        </w:tc>
      </w:tr>
      <w:tr>
        <w:tc>
          <w:tcPr>
            <w:tcW w:type="dxa" w:w="2600"/>
          </w:tcPr>
          <w:p>
            <w:r>
              <w:rPr>
                <w:b w:val="false"/>
                <w:bCs w:val="false"/>
                <w:sz w:val="20"/>
                <w:szCs w:val="20"/>
              </w:rPr>
              <w:t xml:space="preserve">MONITOR_CONFIG_REG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3-2d below.</w:t>
            </w:r>
          </w:p>
        </w:tc>
      </w:tr>
    </w:tbl>
    <w:p>
      <w:pPr>
        <w:spacing w:after="200"/>
      </w:pPr>
      <w:r>
        <w:rPr>
          <w:i/>
          <w:iCs/>
          <w:sz w:val="20"/>
          <w:szCs w:val="20"/>
        </w:rPr>
        <w:t xml:space="preserve">Table 3-2a. MONITOR_CH Register Set — all three registers fully defined (OI-30-09 resolved)</w:t>
      </w:r>
    </w:p>
    <w:p>
      <w:pPr>
        <w:spacing w:after="160"/>
      </w:pPr>
      <w:r>
        <w:rPr>
          <w:b w:val="false"/>
          <w:bCs w:val="false"/>
          <w:i w:val="false"/>
          <w:iCs w:val="false"/>
          <w:sz w:val="22"/>
          <w:szCs w:val="22"/>
        </w:rPr>
        <w:t xml:space="preserve">MONITOR_EVENT_REG control-word format,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31:27</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5</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26:22</w:t>
            </w:r>
          </w:p>
        </w:tc>
        <w:tc>
          <w:tcPr>
            <w:tcW w:type="dxa" w:w="1800"/>
          </w:tcPr>
          <w:p>
            <w:r>
              <w:rPr>
                <w:b w:val="false"/>
                <w:bCs w:val="false"/>
                <w:sz w:val="20"/>
                <w:szCs w:val="20"/>
              </w:rPr>
              <w:t xml:space="preserve">FACE_ID</w:t>
            </w:r>
          </w:p>
        </w:tc>
        <w:tc>
          <w:tcPr>
            <w:tcW w:type="dxa" w:w="900"/>
          </w:tcPr>
          <w:p>
            <w:r>
              <w:rPr>
                <w:b w:val="false"/>
                <w:bCs w:val="false"/>
                <w:sz w:val="20"/>
                <w:szCs w:val="20"/>
              </w:rPr>
              <w:t xml:space="preserve">5</w:t>
            </w:r>
          </w:p>
        </w:tc>
        <w:tc>
          <w:tcPr>
            <w:tcW w:type="dxa" w:w="5660"/>
          </w:tcPr>
          <w:p>
            <w:r>
              <w:rPr>
                <w:b w:val="false"/>
                <w:bCs w:val="false"/>
                <w:sz w:val="20"/>
                <w:szCs w:val="20"/>
              </w:rPr>
              <w:t xml:space="preserve">Target face/slot ID, 0–31 — covers I20's 20 faces (§4.6) with headroom to 32</w:t>
            </w:r>
          </w:p>
        </w:tc>
      </w:tr>
      <w:tr>
        <w:tc>
          <w:tcPr>
            <w:tcW w:type="dxa" w:w="1000"/>
          </w:tcPr>
          <w:p>
            <w:r>
              <w:rPr>
                <w:b w:val="false"/>
                <w:bCs w:val="false"/>
                <w:sz w:val="20"/>
                <w:szCs w:val="20"/>
              </w:rPr>
              <w:t xml:space="preserve">21:8</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7:6</w:t>
            </w:r>
          </w:p>
        </w:tc>
        <w:tc>
          <w:tcPr>
            <w:tcW w:type="dxa" w:w="1800"/>
          </w:tcPr>
          <w:p>
            <w:r>
              <w:rPr>
                <w:b w:val="false"/>
                <w:bCs w:val="false"/>
                <w:sz w:val="20"/>
                <w:szCs w:val="20"/>
              </w:rPr>
              <w:t xml:space="preserve">ACTION</w:t>
            </w:r>
          </w:p>
        </w:tc>
        <w:tc>
          <w:tcPr>
            <w:tcW w:type="dxa" w:w="900"/>
          </w:tcPr>
          <w:p>
            <w:r>
              <w:rPr>
                <w:b w:val="false"/>
                <w:bCs w:val="false"/>
                <w:sz w:val="20"/>
                <w:szCs w:val="20"/>
              </w:rPr>
              <w:t xml:space="preserve">2</w:t>
            </w:r>
          </w:p>
        </w:tc>
        <w:tc>
          <w:tcPr>
            <w:tcW w:type="dxa" w:w="5660"/>
          </w:tcPr>
          <w:p>
            <w:r>
              <w:rPr>
                <w:b w:val="false"/>
                <w:bCs w:val="false"/>
                <w:sz w:val="20"/>
                <w:szCs w:val="20"/>
              </w:rPr>
              <w:t xml:space="preserve">Requested switching action — see Table 3-3</w:t>
            </w:r>
          </w:p>
        </w:tc>
      </w:tr>
      <w:tr>
        <w:tc>
          <w:tcPr>
            <w:tcW w:type="dxa" w:w="1000"/>
          </w:tcPr>
          <w:p>
            <w:r>
              <w:rPr>
                <w:b w:val="false"/>
                <w:bCs w:val="false"/>
                <w:sz w:val="20"/>
                <w:szCs w:val="20"/>
              </w:rPr>
              <w:t xml:space="preserve">5:4</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3</w:t>
            </w:r>
          </w:p>
        </w:tc>
        <w:tc>
          <w:tcPr>
            <w:tcW w:type="dxa" w:w="1800"/>
          </w:tcPr>
          <w:p>
            <w:r>
              <w:rPr>
                <w:b w:val="false"/>
                <w:bCs w:val="false"/>
                <w:sz w:val="20"/>
                <w:szCs w:val="20"/>
              </w:rPr>
              <w:t xml:space="preserve">BER_THRESHOLD</w:t>
            </w:r>
          </w:p>
        </w:tc>
        <w:tc>
          <w:tcPr>
            <w:tcW w:type="dxa" w:w="900"/>
          </w:tcPr>
          <w:p>
            <w:r>
              <w:rPr>
                <w:b w:val="false"/>
                <w:bCs w:val="false"/>
                <w:sz w:val="20"/>
                <w:szCs w:val="20"/>
              </w:rPr>
              <w:t xml:space="preserve">1</w:t>
            </w:r>
          </w:p>
        </w:tc>
        <w:tc>
          <w:tcPr>
            <w:tcW w:type="dxa" w:w="5660"/>
          </w:tcPr>
          <w:p>
            <w:r>
              <w:rPr>
                <w:b w:val="false"/>
                <w:bCs w:val="false"/>
                <w:sz w:val="20"/>
                <w:szCs w:val="20"/>
              </w:rPr>
              <w:t xml:space="preserve">BER threshold exceeded (1 = exceeded) — event-level flag, not a continuous BER measurement, consistent with WP#29 §10.7.2's condition-detection framing</w:t>
            </w:r>
          </w:p>
        </w:tc>
      </w:tr>
      <w:tr>
        <w:tc>
          <w:tcPr>
            <w:tcW w:type="dxa" w:w="1000"/>
          </w:tcPr>
          <w:p>
            <w:r>
              <w:rPr>
                <w:b w:val="false"/>
                <w:bCs w:val="false"/>
                <w:sz w:val="20"/>
                <w:szCs w:val="20"/>
              </w:rPr>
              <w:t xml:space="preserve">2</w:t>
            </w:r>
          </w:p>
        </w:tc>
        <w:tc>
          <w:tcPr>
            <w:tcW w:type="dxa" w:w="1800"/>
          </w:tcPr>
          <w:p>
            <w:r>
              <w:rPr>
                <w:b w:val="false"/>
                <w:bCs w:val="false"/>
                <w:sz w:val="20"/>
                <w:szCs w:val="20"/>
              </w:rPr>
              <w:t xml:space="preserve">LOS</w:t>
            </w:r>
          </w:p>
        </w:tc>
        <w:tc>
          <w:tcPr>
            <w:tcW w:type="dxa" w:w="900"/>
          </w:tcPr>
          <w:p>
            <w:r>
              <w:rPr>
                <w:b w:val="false"/>
                <w:bCs w:val="false"/>
                <w:sz w:val="20"/>
                <w:szCs w:val="20"/>
              </w:rPr>
              <w:t xml:space="preserve">1</w:t>
            </w:r>
          </w:p>
        </w:tc>
        <w:tc>
          <w:tcPr>
            <w:tcW w:type="dxa" w:w="5660"/>
          </w:tcPr>
          <w:p>
            <w:r>
              <w:rPr>
                <w:b w:val="false"/>
                <w:bCs w:val="false"/>
                <w:sz w:val="20"/>
                <w:szCs w:val="20"/>
              </w:rPr>
              <w:t xml:space="preserve">Loss of signal (1 = LOS detected)</w:t>
            </w:r>
          </w:p>
        </w:tc>
      </w:tr>
      <w:tr>
        <w:tc>
          <w:tcPr>
            <w:tcW w:type="dxa" w:w="1000"/>
          </w:tcPr>
          <w:p>
            <w:r>
              <w:rPr>
                <w:b w:val="false"/>
                <w:bCs w:val="false"/>
                <w:sz w:val="20"/>
                <w:szCs w:val="20"/>
              </w:rPr>
              <w:t xml:space="preserve">1:0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3-2b. MONITOR_EVENT_REG Control-Word Format (32-bit) — confirmed per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ACTION</w:t>
            </w:r>
          </w:p>
        </w:tc>
        <w:tc>
          <w:tcPr>
            <w:tcW w:type="dxa" w:w="1000"/>
            <w:shd w:fill="D9D9D9" w:val="clear"/>
          </w:tcPr>
          <w:p>
            <w:r>
              <w:rPr>
                <w:b/>
                <w:bCs/>
                <w:sz w:val="20"/>
                <w:szCs w:val="20"/>
              </w:rPr>
              <w:t xml:space="preserve">Value</w:t>
            </w:r>
          </w:p>
        </w:tc>
        <w:tc>
          <w:tcPr>
            <w:tcW w:type="dxa" w:w="3200"/>
            <w:shd w:fill="D9D9D9" w:val="clear"/>
          </w:tcPr>
          <w:p>
            <w:r>
              <w:rPr>
                <w:b/>
                <w:bCs/>
                <w:sz w:val="20"/>
                <w:szCs w:val="20"/>
              </w:rPr>
              <w:t xml:space="preserve">Meaning</w:t>
            </w:r>
          </w:p>
        </w:tc>
        <w:tc>
          <w:tcPr>
            <w:tcW w:type="dxa" w:w="2960"/>
            <w:shd w:fill="D9D9D9" w:val="clear"/>
          </w:tcPr>
          <w:p>
            <w:r>
              <w:rPr>
                <w:b/>
                <w:bCs/>
                <w:sz w:val="20"/>
                <w:szCs w:val="20"/>
              </w:rPr>
              <w:t xml:space="preserve">WP#29 Basis</w:t>
            </w:r>
          </w:p>
        </w:tc>
      </w:tr>
      <w:tr>
        <w:tc>
          <w:tcPr>
            <w:tcW w:type="dxa" w:w="2200"/>
          </w:tcPr>
          <w:p>
            <w:r>
              <w:rPr>
                <w:b w:val="false"/>
                <w:bCs w:val="false"/>
                <w:sz w:val="20"/>
                <w:szCs w:val="20"/>
              </w:rPr>
              <w:t xml:space="preserve">No action</w:t>
            </w:r>
          </w:p>
        </w:tc>
        <w:tc>
          <w:tcPr>
            <w:tcW w:type="dxa" w:w="1000"/>
          </w:tcPr>
          <w:p>
            <w:r>
              <w:rPr>
                <w:b w:val="false"/>
                <w:bCs w:val="false"/>
                <w:sz w:val="20"/>
                <w:szCs w:val="20"/>
              </w:rPr>
              <w:t xml:space="preserve">0x0</w:t>
            </w:r>
          </w:p>
        </w:tc>
        <w:tc>
          <w:tcPr>
            <w:tcW w:type="dxa" w:w="3200"/>
          </w:tcPr>
          <w:p>
            <w:r>
              <w:rPr>
                <w:b w:val="false"/>
                <w:bCs w:val="false"/>
                <w:sz w:val="20"/>
                <w:szCs w:val="20"/>
              </w:rPr>
              <w:t xml:space="preserve">Default / no switching action requested</w:t>
            </w:r>
          </w:p>
        </w:tc>
        <w:tc>
          <w:tcPr>
            <w:tcW w:type="dxa" w:w="2960"/>
          </w:tcPr>
          <w:p>
            <w:r>
              <w:rPr>
                <w:b w:val="false"/>
                <w:bCs w:val="false"/>
                <w:sz w:val="20"/>
                <w:szCs w:val="20"/>
              </w:rPr>
              <w:t xml:space="preserve">—</w:t>
            </w:r>
          </w:p>
        </w:tc>
      </w:tr>
      <w:tr>
        <w:tc>
          <w:tcPr>
            <w:tcW w:type="dxa" w:w="2200"/>
          </w:tcPr>
          <w:p>
            <w:r>
              <w:rPr>
                <w:b w:val="false"/>
                <w:bCs w:val="false"/>
                <w:sz w:val="20"/>
                <w:szCs w:val="20"/>
              </w:rPr>
              <w:t xml:space="preserve">Alternate-path activation</w:t>
            </w:r>
          </w:p>
        </w:tc>
        <w:tc>
          <w:tcPr>
            <w:tcW w:type="dxa" w:w="1000"/>
          </w:tcPr>
          <w:p>
            <w:r>
              <w:rPr>
                <w:b w:val="false"/>
                <w:bCs w:val="false"/>
                <w:sz w:val="20"/>
                <w:szCs w:val="20"/>
              </w:rPr>
              <w:t xml:space="preserve">0x1</w:t>
            </w:r>
          </w:p>
        </w:tc>
        <w:tc>
          <w:tcPr>
            <w:tcW w:type="dxa" w:w="3200"/>
          </w:tcPr>
          <w:p>
            <w:r>
              <w:rPr>
                <w:b w:val="false"/>
                <w:bCs w:val="false"/>
                <w:sz w:val="20"/>
                <w:szCs w:val="20"/>
              </w:rPr>
              <w:t xml:space="preserve">Reroute around a failed link</w:t>
            </w:r>
          </w:p>
        </w:tc>
        <w:tc>
          <w:tcPr>
            <w:tcW w:type="dxa" w:w="2960"/>
          </w:tcPr>
          <w:p>
            <w:r>
              <w:rPr>
                <w:b w:val="false"/>
                <w:bCs w:val="false"/>
                <w:sz w:val="20"/>
                <w:szCs w:val="20"/>
              </w:rPr>
              <w:t xml:space="preserve">§10.7.2 self-healing</w:t>
            </w:r>
          </w:p>
        </w:tc>
      </w:tr>
      <w:tr>
        <w:tc>
          <w:tcPr>
            <w:tcW w:type="dxa" w:w="2200"/>
          </w:tcPr>
          <w:p>
            <w:r>
              <w:rPr>
                <w:b w:val="false"/>
                <w:bCs w:val="false"/>
                <w:sz w:val="20"/>
                <w:szCs w:val="20"/>
              </w:rPr>
              <w:t xml:space="preserve">Master-Standby handover</w:t>
            </w:r>
          </w:p>
        </w:tc>
        <w:tc>
          <w:tcPr>
            <w:tcW w:type="dxa" w:w="1000"/>
          </w:tcPr>
          <w:p>
            <w:r>
              <w:rPr>
                <w:b w:val="false"/>
                <w:bCs w:val="false"/>
                <w:sz w:val="20"/>
                <w:szCs w:val="20"/>
              </w:rPr>
              <w:t xml:space="preserve">0x2</w:t>
            </w:r>
          </w:p>
        </w:tc>
        <w:tc>
          <w:tcPr>
            <w:tcW w:type="dxa" w:w="3200"/>
          </w:tcPr>
          <w:p>
            <w:r>
              <w:rPr>
                <w:b w:val="false"/>
                <w:bCs w:val="false"/>
                <w:sz w:val="20"/>
                <w:szCs w:val="20"/>
              </w:rPr>
              <w:t xml:space="preserve">Hypercube-neighbor standby assumes master role</w:t>
            </w:r>
          </w:p>
        </w:tc>
        <w:tc>
          <w:tcPr>
            <w:tcW w:type="dxa" w:w="2960"/>
          </w:tcPr>
          <w:p>
            <w:r>
              <w:rPr>
                <w:b w:val="false"/>
                <w:bCs w:val="false"/>
                <w:sz w:val="20"/>
                <w:szCs w:val="20"/>
              </w:rPr>
              <w:t xml:space="preserve">§10.7.10</w:t>
            </w:r>
          </w:p>
        </w:tc>
      </w:tr>
      <w:tr>
        <w:tc>
          <w:tcPr>
            <w:tcW w:type="dxa" w:w="2200"/>
          </w:tcPr>
          <w:p>
            <w:r>
              <w:rPr>
                <w:b w:val="false"/>
                <w:bCs w:val="false"/>
                <w:sz w:val="20"/>
                <w:szCs w:val="20"/>
              </w:rPr>
              <w:t xml:space="preserve">Negotiated configuration</w:t>
            </w:r>
          </w:p>
        </w:tc>
        <w:tc>
          <w:tcPr>
            <w:tcW w:type="dxa" w:w="1000"/>
          </w:tcPr>
          <w:p>
            <w:r>
              <w:rPr>
                <w:b w:val="false"/>
                <w:bCs w:val="false"/>
                <w:sz w:val="20"/>
                <w:szCs w:val="20"/>
              </w:rPr>
              <w:t xml:space="preserve">0x3</w:t>
            </w:r>
          </w:p>
        </w:tc>
        <w:tc>
          <w:tcPr>
            <w:tcW w:type="dxa" w:w="3200"/>
          </w:tcPr>
          <w:p>
            <w:r>
              <w:rPr>
                <w:b w:val="false"/>
                <w:bCs w:val="false"/>
                <w:sz w:val="20"/>
                <w:szCs w:val="20"/>
              </w:rPr>
              <w:t xml:space="preserve">Apply accepted Core Stack negotiation outcome</w:t>
            </w:r>
          </w:p>
        </w:tc>
        <w:tc>
          <w:tcPr>
            <w:tcW w:type="dxa" w:w="2960"/>
          </w:tcPr>
          <w:p>
            <w:r>
              <w:rPr>
                <w:b w:val="false"/>
                <w:bCs w:val="false"/>
                <w:sz w:val="20"/>
                <w:szCs w:val="20"/>
              </w:rPr>
              <w:t xml:space="preserve">§7; §10.7.11 request execution path</w:t>
            </w:r>
          </w:p>
        </w:tc>
      </w:tr>
    </w:tbl>
    <w:p>
      <w:pPr>
        <w:spacing w:after="200"/>
      </w:pPr>
      <w:r>
        <w:rPr>
          <w:i/>
          <w:iCs/>
          <w:sz w:val="20"/>
          <w:szCs w:val="20"/>
        </w:rPr>
        <w:t xml:space="preserve">Table 3-3. ACTION Field Encoding (2-bit) — confirmed per 창호</w:t>
      </w:r>
    </w:p>
    <w:p>
      <w:pPr>
        <w:spacing w:after="160"/>
      </w:pPr>
      <w:r>
        <w:rPr>
          <w:b w:val="false"/>
          <w:bCs w:val="false"/>
          <w:i w:val="false"/>
          <w:iCs w:val="false"/>
          <w:sz w:val="22"/>
          <w:szCs w:val="22"/>
        </w:rPr>
        <w:t xml:space="preserve">MONITOR_STATUS_REG field layout, confirmed per 창호 this session. Scope note: MONITOR_CH is dedicated to hypercube link monitoring (LOS/BER, §3.1.2) only — PAI/EAI cooperation-request status is out of scope for this register and belongs to Slot 2/Face 2 (WP#29 §6.1) instead, handled via §6 (NPU–Matrix Command Interface) or §4 (Node-to-Dedicated-Equipment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31:16</w:t>
            </w:r>
          </w:p>
        </w:tc>
        <w:tc>
          <w:tcPr>
            <w:tcW w:type="dxa" w:w="1800"/>
          </w:tcPr>
          <w:p>
            <w:r>
              <w:rPr>
                <w:b w:val="false"/>
                <w:bCs w:val="false"/>
                <w:sz w:val="20"/>
                <w:szCs w:val="20"/>
              </w:rPr>
              <w:t xml:space="preserve">EVENT_COUNT</w:t>
            </w:r>
          </w:p>
        </w:tc>
        <w:tc>
          <w:tcPr>
            <w:tcW w:type="dxa" w:w="900"/>
          </w:tcPr>
          <w:p>
            <w:r>
              <w:rPr>
                <w:b w:val="false"/>
                <w:bCs w:val="false"/>
                <w:sz w:val="20"/>
                <w:szCs w:val="20"/>
              </w:rPr>
              <w:t xml:space="preserve">16</w:t>
            </w:r>
          </w:p>
        </w:tc>
        <w:tc>
          <w:tcPr>
            <w:tcW w:type="dxa" w:w="5660"/>
          </w:tcPr>
          <w:p>
            <w:r>
              <w:rPr>
                <w:b w:val="false"/>
                <w:bCs w:val="false"/>
                <w:sz w:val="20"/>
                <w:szCs w:val="20"/>
              </w:rPr>
              <w:t xml:space="preserve">Cumulative count of monitored events</w:t>
            </w:r>
          </w:p>
        </w:tc>
      </w:tr>
      <w:tr>
        <w:tc>
          <w:tcPr>
            <w:tcW w:type="dxa" w:w="1000"/>
          </w:tcPr>
          <w:p>
            <w:r>
              <w:rPr>
                <w:b w:val="false"/>
                <w:bCs w:val="false"/>
                <w:sz w:val="20"/>
                <w:szCs w:val="20"/>
              </w:rPr>
              <w:t xml:space="preserve">15:12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11:8</w:t>
            </w:r>
          </w:p>
        </w:tc>
        <w:tc>
          <w:tcPr>
            <w:tcW w:type="dxa" w:w="1800"/>
          </w:tcPr>
          <w:p>
            <w:r>
              <w:rPr>
                <w:b w:val="false"/>
                <w:bCs w:val="false"/>
                <w:sz w:val="20"/>
                <w:szCs w:val="20"/>
              </w:rPr>
              <w:t xml:space="preserve">LAST_EVENT_TYPE</w:t>
            </w:r>
          </w:p>
        </w:tc>
        <w:tc>
          <w:tcPr>
            <w:tcW w:type="dxa" w:w="900"/>
          </w:tcPr>
          <w:p>
            <w:r>
              <w:rPr>
                <w:b w:val="false"/>
                <w:bCs w:val="false"/>
                <w:sz w:val="20"/>
                <w:szCs w:val="20"/>
              </w:rPr>
              <w:t xml:space="preserve">4</w:t>
            </w:r>
          </w:p>
        </w:tc>
        <w:tc>
          <w:tcPr>
            <w:tcW w:type="dxa" w:w="5660"/>
          </w:tcPr>
          <w:p>
            <w:r>
              <w:rPr>
                <w:b w:val="false"/>
                <w:bCs w:val="false"/>
                <w:sz w:val="20"/>
                <w:szCs w:val="20"/>
              </w:rPr>
              <w:t xml:space="preserve">0 = none, 1 = LOS, 2 = BER, 3–15 = RESERVED (deliberately excludes cooperation-request events — out of MONITOR_CH scope, see note above)</w:t>
            </w:r>
          </w:p>
        </w:tc>
      </w:tr>
      <w:tr>
        <w:tc>
          <w:tcPr>
            <w:tcW w:type="dxa" w:w="1000"/>
          </w:tcPr>
          <w:p>
            <w:r>
              <w:rPr>
                <w:b w:val="false"/>
                <w:bCs w:val="false"/>
                <w:sz w:val="20"/>
                <w:szCs w:val="20"/>
              </w:rPr>
              <w:t xml:space="preserve">7:2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1800"/>
          </w:tcPr>
          <w:p>
            <w:r>
              <w:rPr>
                <w:b w:val="false"/>
                <w:bCs w:val="false"/>
                <w:sz w:val="20"/>
                <w:szCs w:val="20"/>
              </w:rPr>
              <w:t xml:space="preserve">LINK_UP</w:t>
            </w:r>
          </w:p>
        </w:tc>
        <w:tc>
          <w:tcPr>
            <w:tcW w:type="dxa" w:w="900"/>
          </w:tcPr>
          <w:p>
            <w:r>
              <w:rPr>
                <w:b w:val="false"/>
                <w:bCs w:val="false"/>
                <w:sz w:val="20"/>
                <w:szCs w:val="20"/>
              </w:rPr>
              <w:t xml:space="preserve">1</w:t>
            </w:r>
          </w:p>
        </w:tc>
        <w:tc>
          <w:tcPr>
            <w:tcW w:type="dxa" w:w="5660"/>
          </w:tcPr>
          <w:p>
            <w:r>
              <w:rPr>
                <w:b w:val="false"/>
                <w:bCs w:val="false"/>
                <w:sz w:val="20"/>
                <w:szCs w:val="20"/>
              </w:rPr>
              <w:t xml:space="preserve">Current link status (1 = up, 0 = LOS)</w:t>
            </w:r>
          </w:p>
        </w:tc>
      </w:tr>
      <w:tr>
        <w:tc>
          <w:tcPr>
            <w:tcW w:type="dxa" w:w="1000"/>
          </w:tcPr>
          <w:p>
            <w:r>
              <w:rPr>
                <w:b w:val="false"/>
                <w:bCs w:val="false"/>
                <w:sz w:val="20"/>
                <w:szCs w:val="20"/>
              </w:rPr>
              <w:t xml:space="preserve">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3-2c. MONITOR_STATUS_REG Field Layout (32-bit) — confirmed per 창호</w:t>
      </w:r>
    </w:p>
    <w:p>
      <w:pPr>
        <w:spacing w:after="160"/>
      </w:pPr>
      <w:r>
        <w:rPr>
          <w:b w:val="false"/>
          <w:bCs w:val="false"/>
          <w:i w:val="false"/>
          <w:iCs w:val="false"/>
          <w:sz w:val="22"/>
          <w:szCs w:val="22"/>
        </w:rPr>
        <w:t xml:space="preserve">MONITOR_CONFIG_REG field layout,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22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260"/>
            <w:shd w:fill="D9D9D9" w:val="clear"/>
          </w:tcPr>
          <w:p>
            <w:r>
              <w:rPr>
                <w:b/>
                <w:bCs/>
                <w:sz w:val="20"/>
                <w:szCs w:val="20"/>
              </w:rPr>
              <w:t xml:space="preserve">Description</w:t>
            </w:r>
          </w:p>
        </w:tc>
      </w:tr>
      <w:tr>
        <w:tc>
          <w:tcPr>
            <w:tcW w:type="dxa" w:w="1000"/>
          </w:tcPr>
          <w:p>
            <w:r>
              <w:rPr>
                <w:b w:val="false"/>
                <w:bCs w:val="false"/>
                <w:sz w:val="20"/>
                <w:szCs w:val="20"/>
              </w:rPr>
              <w:t xml:space="preserve">31:24</w:t>
            </w:r>
          </w:p>
        </w:tc>
        <w:tc>
          <w:tcPr>
            <w:tcW w:type="dxa" w:w="2200"/>
          </w:tcPr>
          <w:p>
            <w:r>
              <w:rPr>
                <w:b w:val="false"/>
                <w:bCs w:val="false"/>
                <w:sz w:val="20"/>
                <w:szCs w:val="20"/>
              </w:rPr>
              <w:t xml:space="preserve">SCALE_DOWN_THRESHOLD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scale-down threshold — illustrative value only (e.g. 20%), see OI-30-11</w:t>
            </w:r>
          </w:p>
        </w:tc>
      </w:tr>
      <w:tr>
        <w:tc>
          <w:tcPr>
            <w:tcW w:type="dxa" w:w="1000"/>
          </w:tcPr>
          <w:p>
            <w:r>
              <w:rPr>
                <w:b w:val="false"/>
                <w:bCs w:val="false"/>
                <w:sz w:val="20"/>
                <w:szCs w:val="20"/>
              </w:rPr>
              <w:t xml:space="preserve">23:16</w:t>
            </w:r>
          </w:p>
        </w:tc>
        <w:tc>
          <w:tcPr>
            <w:tcW w:type="dxa" w:w="2200"/>
          </w:tcPr>
          <w:p>
            <w:r>
              <w:rPr>
                <w:b w:val="false"/>
                <w:bCs w:val="false"/>
                <w:sz w:val="20"/>
                <w:szCs w:val="20"/>
              </w:rPr>
              <w:t xml:space="preserve">SCALE_UP_THRESHOLD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scale-up threshold — illustrative value only (e.g. 80%), see OI-30-11</w:t>
            </w:r>
          </w:p>
        </w:tc>
      </w:tr>
      <w:tr>
        <w:tc>
          <w:tcPr>
            <w:tcW w:type="dxa" w:w="1000"/>
          </w:tcPr>
          <w:p>
            <w:r>
              <w:rPr>
                <w:b w:val="false"/>
                <w:bCs w:val="false"/>
                <w:sz w:val="20"/>
                <w:szCs w:val="20"/>
              </w:rPr>
              <w:t xml:space="preserve">15:12</w:t>
            </w:r>
          </w:p>
        </w:tc>
        <w:tc>
          <w:tcPr>
            <w:tcW w:type="dxa" w:w="2200"/>
          </w:tcPr>
          <w:p>
            <w:r>
              <w:rPr>
                <w:b w:val="false"/>
                <w:bCs w:val="false"/>
                <w:sz w:val="20"/>
                <w:szCs w:val="20"/>
              </w:rPr>
              <w:t xml:space="preserve">BER_THRESHOLD_LEVEL</w:t>
            </w:r>
          </w:p>
        </w:tc>
        <w:tc>
          <w:tcPr>
            <w:tcW w:type="dxa" w:w="900"/>
          </w:tcPr>
          <w:p>
            <w:r>
              <w:rPr>
                <w:b w:val="false"/>
                <w:bCs w:val="false"/>
                <w:sz w:val="20"/>
                <w:szCs w:val="20"/>
              </w:rPr>
              <w:t xml:space="preserve">4</w:t>
            </w:r>
          </w:p>
        </w:tc>
        <w:tc>
          <w:tcPr>
            <w:tcW w:type="dxa" w:w="5260"/>
          </w:tcPr>
          <w:p>
            <w:r>
              <w:rPr>
                <w:b w:val="false"/>
                <w:bCs w:val="false"/>
                <w:sz w:val="20"/>
                <w:szCs w:val="20"/>
              </w:rPr>
              <w:t xml:space="preserve">BER threshold setting (0–15); specific meaning per level is implementation-defined</w:t>
            </w:r>
          </w:p>
        </w:tc>
      </w:tr>
      <w:tr>
        <w:tc>
          <w:tcPr>
            <w:tcW w:type="dxa" w:w="1000"/>
          </w:tcPr>
          <w:p>
            <w:r>
              <w:rPr>
                <w:b w:val="false"/>
                <w:bCs w:val="false"/>
                <w:sz w:val="20"/>
                <w:szCs w:val="20"/>
              </w:rPr>
              <w:t xml:space="preserve">11:8</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7:2</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2200"/>
          </w:tcPr>
          <w:p>
            <w:r>
              <w:rPr>
                <w:b w:val="false"/>
                <w:bCs w:val="false"/>
                <w:sz w:val="20"/>
                <w:szCs w:val="20"/>
              </w:rPr>
              <w:t xml:space="preserve">EVENT_REPORT_EN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NPU interrupt on event occurrence</w:t>
            </w:r>
          </w:p>
        </w:tc>
      </w:tr>
      <w:tr>
        <w:tc>
          <w:tcPr>
            <w:tcW w:type="dxa" w:w="1000"/>
          </w:tcPr>
          <w:p>
            <w:r>
              <w:rPr>
                <w:b w:val="false"/>
                <w:bCs w:val="false"/>
                <w:sz w:val="20"/>
                <w:szCs w:val="20"/>
              </w:rPr>
              <w:t xml:space="preserve">0</w:t>
            </w:r>
          </w:p>
        </w:tc>
        <w:tc>
          <w:tcPr>
            <w:tcW w:type="dxa" w:w="2200"/>
          </w:tcPr>
          <w:p>
            <w:r>
              <w:rPr>
                <w:b w:val="false"/>
                <w:bCs w:val="false"/>
                <w:sz w:val="20"/>
                <w:szCs w:val="20"/>
              </w:rPr>
              <w:t xml:space="preserve">MONITOR_EN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the monitor channel</w:t>
            </w:r>
          </w:p>
        </w:tc>
      </w:tr>
    </w:tbl>
    <w:p>
      <w:pPr>
        <w:spacing w:after="200"/>
      </w:pPr>
      <w:r>
        <w:rPr>
          <w:i/>
          <w:iCs/>
          <w:sz w:val="20"/>
          <w:szCs w:val="20"/>
        </w:rPr>
        <w:t xml:space="preserve">Table 3-2d. MONITOR_CONFIG_REG Field Layout (32-bit) — confirmed per 창호</w:t>
      </w:r>
    </w:p>
    <w:p>
      <w:pPr>
        <w:spacing w:after="200"/>
      </w:pPr>
      <w:r>
        <w:rPr>
          <w:b/>
          <w:bCs/>
          <w:i/>
          <w:iCs/>
          <w:sz w:val="22"/>
          <w:szCs w:val="22"/>
        </w:rPr>
        <w:t xml:space="preserve">Open — OI-30-11: </w:t>
      </w:r>
      <w:r>
        <w:rPr>
          <w:i/>
          <w:iCs/>
          <w:sz w:val="22"/>
          <w:szCs w:val="22"/>
        </w:rPr>
        <w:t xml:space="preserve">SCALE_UP_THRESHOLD/SCALE_DOWN_THRESHOLD values are not fixed — 80%/20% are illustrative only, subject to deployment-specific tuning. Field width (8 bits each) is confirmed; the actual threshold values are a deployment decision, not an architecture decision.</w:t>
      </w:r>
    </w:p>
    <w:p>
      <w:pPr>
        <w:spacing w:after="160"/>
      </w:pPr>
      <w:r>
        <w:rPr>
          <w:b/>
          <w:bCs/>
          <w:sz w:val="22"/>
          <w:szCs w:val="22"/>
        </w:rPr>
        <w:t xml:space="preserve">Note on D12/I20 applicability (per OI-29-23): </w:t>
      </w:r>
      <w:r>
        <w:rPr>
          <w:sz w:val="22"/>
          <w:szCs w:val="22"/>
        </w:rPr>
        <w:t xml:space="preserve">The MONITOR_CH control-word format (Table 3-2b) uses a 5-bit FACE_ID field, which numerically covers O8 (8 faces), D12 (12 faces), and I20 (20 faces). However, the slot-internal allocation logic that MONITOR_CH implements — specifically the 12-core control + 180-core direct-connect Pass path split defined in WP#29 §10.7.3 for O8 — has not yet been scaled or confirmed for D12 (768 cores/face) or I20 (3,072 cores/face). Whether the control-core count stays fixed at 12 (with all additional capacity routed to the Pass path) or scales proportionally is deferred to OI-29-23. The FACE_ID width itself is sufficient; the applicability of the MONITOR_CH mechanism to D12/I20 is not yet determined.</w:t>
      </w:r>
    </w:p>
    <w:p>
      <w:pPr>
        <w:pStyle w:val="Heading3"/>
        <w:spacing w:after="160" w:before="280"/>
      </w:pPr>
      <w:r>
        <w:rPr>
          <w:b/>
          <w:bCs/>
        </w:rPr>
        <w:t xml:space="preserve">3.1.4 Always-On Operation</w:t>
      </w:r>
    </w:p>
    <w:p>
      <w:pPr>
        <w:spacing w:after="160"/>
      </w:pPr>
      <w:r>
        <w:rPr>
          <w:b w:val="false"/>
          <w:bCs w:val="false"/>
          <w:i w:val="false"/>
          <w:iCs w:val="false"/>
          <w:sz w:val="22"/>
          <w:szCs w:val="22"/>
        </w:rPr>
        <w:t xml:space="preserve">Unlike BOOTSTRAP_CH, which is active only during initial device registration (WP#20 §4.2), MONITOR_CH remains active throughout the entire operational lifecycle of the node — consistent with WP#29 §10.7.2's self-healing sequence requiring continuous LOS/BER detection, not a one-time check.</w:t>
      </w:r>
    </w:p>
    <w:p>
      <w:pPr>
        <w:pStyle w:val="Heading2"/>
        <w:spacing w:after="160" w:before="280"/>
      </w:pPr>
      <w:r>
        <w:rPr>
          <w:b/>
          <w:bCs/>
        </w:rPr>
        <w:t xml:space="preserve">3.2 Event-Triggered Resource Management</w:t>
      </w:r>
    </w:p>
    <w:p>
      <w:pPr>
        <w:spacing w:after="160"/>
      </w:pPr>
      <w:r>
        <w:rPr>
          <w:b w:val="false"/>
          <w:bCs w:val="false"/>
          <w:i w:val="false"/>
          <w:iCs w:val="false"/>
          <w:sz w:val="22"/>
          <w:szCs w:val="22"/>
        </w:rPr>
        <w:t xml:space="preserve">Per 창호. Traffic-driven activation/deactivation of optical cores/paths, governed by fixed, pre-defined rules evaluated against MONITOR_CONFIG_REG's threshold fields — not by NPU judgment or learned/predicted traffic patterns. This keeps resource scaling consistent with §6.2's principle that the NPU executes pre-defined deterministic responses rather than deciding outcomes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Rule</w:t>
            </w:r>
          </w:p>
        </w:tc>
        <w:tc>
          <w:tcPr>
            <w:tcW w:type="dxa" w:w="3560"/>
            <w:shd w:fill="D9D9D9" w:val="clear"/>
          </w:tcPr>
          <w:p>
            <w:r>
              <w:rPr>
                <w:b/>
                <w:bCs/>
                <w:sz w:val="20"/>
                <w:szCs w:val="20"/>
              </w:rPr>
              <w:t xml:space="preserve">Trigger</w:t>
            </w:r>
          </w:p>
        </w:tc>
        <w:tc>
          <w:tcPr>
            <w:tcW w:type="dxa" w:w="3600"/>
            <w:shd w:fill="D9D9D9" w:val="clear"/>
          </w:tcPr>
          <w:p>
            <w:r>
              <w:rPr>
                <w:b/>
                <w:bCs/>
                <w:sz w:val="20"/>
                <w:szCs w:val="20"/>
              </w:rPr>
              <w:t xml:space="preserve">Action</w:t>
            </w:r>
          </w:p>
        </w:tc>
      </w:tr>
      <w:tr>
        <w:tc>
          <w:tcPr>
            <w:tcW w:type="dxa" w:w="2200"/>
          </w:tcPr>
          <w:p>
            <w:r>
              <w:rPr>
                <w:b w:val="false"/>
                <w:bCs w:val="false"/>
                <w:sz w:val="20"/>
                <w:szCs w:val="20"/>
              </w:rPr>
              <w:t xml:space="preserve">Scale-up</w:t>
            </w:r>
          </w:p>
        </w:tc>
        <w:tc>
          <w:tcPr>
            <w:tcW w:type="dxa" w:w="3560"/>
          </w:tcPr>
          <w:p>
            <w:r>
              <w:rPr>
                <w:b w:val="false"/>
                <w:bCs w:val="false"/>
                <w:sz w:val="20"/>
                <w:szCs w:val="20"/>
              </w:rPr>
              <w:t xml:space="preserve">Traffic exceeds SCALE_UP_THRESHOLD</w:t>
            </w:r>
          </w:p>
        </w:tc>
        <w:tc>
          <w:tcPr>
            <w:tcW w:type="dxa" w:w="3600"/>
          </w:tcPr>
          <w:p>
            <w:r>
              <w:rPr>
                <w:b w:val="false"/>
                <w:bCs w:val="false"/>
                <w:sz w:val="20"/>
                <w:szCs w:val="20"/>
              </w:rPr>
              <w:t xml:space="preserve">Activate additional dormant optical core(s)/path(s)</w:t>
            </w:r>
          </w:p>
        </w:tc>
      </w:tr>
      <w:tr>
        <w:tc>
          <w:tcPr>
            <w:tcW w:type="dxa" w:w="2200"/>
          </w:tcPr>
          <w:p>
            <w:r>
              <w:rPr>
                <w:b w:val="false"/>
                <w:bCs w:val="false"/>
                <w:sz w:val="20"/>
                <w:szCs w:val="20"/>
              </w:rPr>
              <w:t xml:space="preserve">Scale-down</w:t>
            </w:r>
          </w:p>
        </w:tc>
        <w:tc>
          <w:tcPr>
            <w:tcW w:type="dxa" w:w="3560"/>
          </w:tcPr>
          <w:p>
            <w:r>
              <w:rPr>
                <w:b w:val="false"/>
                <w:bCs w:val="false"/>
                <w:sz w:val="20"/>
                <w:szCs w:val="20"/>
              </w:rPr>
              <w:t xml:space="preserve">Traffic falls below SCALE_DOWN_THRESHOLD</w:t>
            </w:r>
          </w:p>
        </w:tc>
        <w:tc>
          <w:tcPr>
            <w:tcW w:type="dxa" w:w="3600"/>
          </w:tcPr>
          <w:p>
            <w:r>
              <w:rPr>
                <w:b w:val="false"/>
                <w:bCs w:val="false"/>
                <w:sz w:val="20"/>
                <w:szCs w:val="20"/>
              </w:rPr>
              <w:t xml:space="preserve">Deactivate previously-activated optical core(s)/path(s)</w:t>
            </w:r>
          </w:p>
        </w:tc>
      </w:tr>
      <w:tr>
        <w:tc>
          <w:tcPr>
            <w:tcW w:type="dxa" w:w="2200"/>
          </w:tcPr>
          <w:p>
            <w:r>
              <w:rPr>
                <w:b w:val="false"/>
                <w:bCs w:val="false"/>
                <w:sz w:val="20"/>
                <w:szCs w:val="20"/>
              </w:rPr>
              <w:t xml:space="preserve">Self-healing (existing, restated)</w:t>
            </w:r>
          </w:p>
        </w:tc>
        <w:tc>
          <w:tcPr>
            <w:tcW w:type="dxa" w:w="3560"/>
          </w:tcPr>
          <w:p>
            <w:r>
              <w:rPr>
                <w:b w:val="false"/>
                <w:bCs w:val="false"/>
                <w:sz w:val="20"/>
                <w:szCs w:val="20"/>
              </w:rPr>
              <w:t xml:space="preserve">LOS/BER detected (MONITOR_EVENT_REG)</w:t>
            </w:r>
          </w:p>
        </w:tc>
        <w:tc>
          <w:tcPr>
            <w:tcW w:type="dxa" w:w="3600"/>
          </w:tcPr>
          <w:p>
            <w:r>
              <w:rPr>
                <w:b w:val="false"/>
                <w:bCs w:val="false"/>
                <w:sz w:val="20"/>
                <w:szCs w:val="20"/>
              </w:rPr>
              <w:t xml:space="preserve">Alternate-path activation, ACTION = 0x1 (Table 3-3)</w:t>
            </w:r>
          </w:p>
        </w:tc>
      </w:tr>
    </w:tbl>
    <w:p>
      <w:pPr>
        <w:spacing w:after="200"/>
      </w:pPr>
      <w:r>
        <w:rPr>
          <w:i/>
          <w:iCs/>
          <w:sz w:val="20"/>
          <w:szCs w:val="20"/>
        </w:rPr>
        <w:t xml:space="preserve">Table 3-4. Event-Triggered Resource Management Rules — confirmed per 창호</w:t>
      </w:r>
    </w:p>
    <w:p>
      <w:pPr>
        <w:spacing w:after="160"/>
      </w:pPr>
      <w:r>
        <w:rPr>
          <w:b w:val="false"/>
          <w:bCs w:val="false"/>
          <w:i w:val="false"/>
          <w:iCs w:val="false"/>
          <w:sz w:val="22"/>
          <w:szCs w:val="22"/>
        </w:rPr>
        <w:t xml:space="preserve">This is deliberately scoped as rule-based, event-triggered reconfiguration — the same category of mechanism as WP#29 §10.7.4's Mode A/B transition (fixed rule, evaluated against a threshold, executed deterministically), not continuous statistical traffic prediction. Where the specific threshold values come from (SCALE_UP/DOWN_THRESHOLD) is separately flagged as OI-30-11; the rule structure itself is fixed.</w:t>
      </w:r>
    </w:p>
    <w:p>
      <w:pPr>
        <w:pStyle w:val="Heading2"/>
        <w:spacing w:after="160" w:before="280"/>
      </w:pPr>
      <w:r>
        <w:rPr>
          <w:b/>
          <w:bCs/>
        </w:rPr>
        <w:t xml:space="preserve">3.3 RTL Data Path (resolves OI-30-10)</w:t>
      </w:r>
    </w:p>
    <w:p>
      <w:pPr>
        <w:spacing w:after="160"/>
      </w:pPr>
      <w:r>
        <w:rPr>
          <w:b w:val="false"/>
          <w:bCs w:val="false"/>
          <w:i w:val="false"/>
          <w:iCs w:val="false"/>
          <w:sz w:val="22"/>
          <w:szCs w:val="22"/>
        </w:rPr>
        <w:t xml:space="preserve">Per 창호. The RTL circuit path connecting MONITOR_CH to the Matrix switch control logic:</w:t>
      </w:r>
    </w:p>
    <w:p>
      <w:pPr>
        <w:spacing w:after="160"/>
      </w:pPr>
      <w:r>
        <w:rPr>
          <w:b w:val="false"/>
          <w:bCs w:val="false"/>
          <w:i w:val="false"/>
          <w:iCs w:val="false"/>
          <w:sz w:val="22"/>
          <w:szCs w:val="22"/>
        </w:rPr>
        <w:t xml:space="preserve">Module path: MONITOR_CH receiver → control-word decoder → rule evaluator (§3.2's Scale-up/down and self-healing rules) → Matrix switch control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Signal</w:t>
            </w:r>
          </w:p>
        </w:tc>
        <w:tc>
          <w:tcPr>
            <w:tcW w:type="dxa" w:w="2600"/>
            <w:shd w:fill="D9D9D9" w:val="clear"/>
          </w:tcPr>
          <w:p>
            <w:r>
              <w:rPr>
                <w:b/>
                <w:bCs/>
                <w:sz w:val="20"/>
                <w:szCs w:val="20"/>
              </w:rPr>
              <w:t xml:space="preserve">Direction</w:t>
            </w:r>
          </w:p>
        </w:tc>
        <w:tc>
          <w:tcPr>
            <w:tcW w:type="dxa" w:w="3560"/>
            <w:shd w:fill="D9D9D9" w:val="clear"/>
          </w:tcPr>
          <w:p>
            <w:r>
              <w:rPr>
                <w:b/>
                <w:bCs/>
                <w:sz w:val="20"/>
                <w:szCs w:val="20"/>
              </w:rPr>
              <w:t xml:space="preserve">Description</w:t>
            </w:r>
          </w:p>
        </w:tc>
      </w:tr>
      <w:tr>
        <w:tc>
          <w:tcPr>
            <w:tcW w:type="dxa" w:w="3200"/>
          </w:tcPr>
          <w:p>
            <w:r>
              <w:rPr>
                <w:b w:val="false"/>
                <w:bCs w:val="false"/>
                <w:sz w:val="20"/>
                <w:szCs w:val="20"/>
              </w:rPr>
              <w:t xml:space="preserve">monitor_event_valid</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Asserted when a new MONITOR_EVENT_REG value is ready to be read</w:t>
            </w:r>
          </w:p>
        </w:tc>
      </w:tr>
      <w:tr>
        <w:tc>
          <w:tcPr>
            <w:tcW w:type="dxa" w:w="3200"/>
          </w:tcPr>
          <w:p>
            <w:r>
              <w:rPr>
                <w:b w:val="false"/>
                <w:bCs w:val="false"/>
                <w:sz w:val="20"/>
                <w:szCs w:val="20"/>
              </w:rPr>
              <w:t xml:space="preserve">monitor_event_ready</w:t>
            </w:r>
          </w:p>
        </w:tc>
        <w:tc>
          <w:tcPr>
            <w:tcW w:type="dxa" w:w="2600"/>
          </w:tcPr>
          <w:p>
            <w:r>
              <w:rPr>
                <w:b w:val="false"/>
                <w:bCs w:val="false"/>
                <w:sz w:val="20"/>
                <w:szCs w:val="20"/>
              </w:rPr>
              <w:t xml:space="preserve">decoder → MONITOR_CH</w:t>
            </w:r>
          </w:p>
        </w:tc>
        <w:tc>
          <w:tcPr>
            <w:tcW w:type="dxa" w:w="3560"/>
          </w:tcPr>
          <w:p>
            <w:r>
              <w:rPr>
                <w:b w:val="false"/>
                <w:bCs w:val="false"/>
                <w:sz w:val="20"/>
                <w:szCs w:val="20"/>
              </w:rPr>
              <w:t xml:space="preserve">Asserted when the decoder is ready to accept the next event (back-pressure)</w:t>
            </w:r>
          </w:p>
        </w:tc>
      </w:tr>
      <w:tr>
        <w:tc>
          <w:tcPr>
            <w:tcW w:type="dxa" w:w="3200"/>
          </w:tcPr>
          <w:p>
            <w:r>
              <w:rPr>
                <w:b w:val="false"/>
                <w:bCs w:val="false"/>
                <w:sz w:val="20"/>
                <w:szCs w:val="20"/>
              </w:rPr>
              <w:t xml:space="preserve">monitor_control_word[31:0]</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The MONITOR_EVENT_REG control word itself (Table 3-2b)</w:t>
            </w:r>
          </w:p>
        </w:tc>
      </w:tr>
    </w:tbl>
    <w:p>
      <w:pPr>
        <w:spacing w:after="200"/>
      </w:pPr>
      <w:r>
        <w:rPr>
          <w:i/>
          <w:iCs/>
          <w:sz w:val="20"/>
          <w:szCs w:val="20"/>
        </w:rPr>
        <w:t xml:space="preserve">Table 3-5. MONITOR_CH → Matrix Switch RTL Interface Signals — confirmed per 창호</w:t>
      </w:r>
    </w:p>
    <w:p>
      <w:pPr>
        <w:spacing w:after="200"/>
      </w:pPr>
      <w:r>
        <w:rPr>
          <w:b/>
          <w:bCs/>
          <w:i/>
          <w:iCs/>
          <w:sz w:val="22"/>
          <w:szCs w:val="22"/>
        </w:rPr>
        <w:t xml:space="preserve">Open — OI-30-12: </w:t>
      </w:r>
      <w:r>
        <w:rPr>
          <w:i/>
          <w:iCs/>
          <w:sz w:val="22"/>
          <w:szCs w:val="22"/>
        </w:rPr>
        <w:t xml:space="preserve">Clock domain relationship between MONITOR_CH and the Matrix switch control logic is not fixed — whether they share one clock domain or MONITOR_CH runs on its own clock with a CDC (clock-domain-crossing) boundary at the decoder is undecided.</w:t>
      </w:r>
    </w:p>
    <w:p>
      <w:pPr>
        <w:spacing w:after="200"/>
      </w:pPr>
      <w:r>
        <w:rPr>
          <w:i/>
          <w:iCs/>
          <w:color w:val="888888"/>
          <w:sz w:val="22"/>
          <w:szCs w:val="22"/>
        </w:rPr>
        <w:t xml:space="preserve">[상세 미정 — 차후 세션에서 확정] The remaining Matrix RTL module breakdown (switch fabric, path-selection logic proper, fault-circumvention state machine internals) beyond the Monitor Channel and its immediate RTL interface is not yet drafted — see OI-30-04.</w:t>
      </w:r>
    </w:p>
    <w:p>
      <w:pPr>
        <w:pStyle w:val="Heading1"/>
        <w:spacing w:after="160" w:before="280"/>
      </w:pPr>
      <w:r>
        <w:rPr>
          <w:b/>
          <w:bCs/>
        </w:rPr>
        <w:t xml:space="preserve">4. Node-to-Dedicated-Equipment Register Interface (mostly resolves OI-29-01/OI-30-01)</w:t>
      </w:r>
    </w:p>
    <w:p>
      <w:pPr>
        <w:spacing w:after="160"/>
      </w:pPr>
      <w:r>
        <w:rPr>
          <w:b/>
          <w:bCs/>
          <w:sz w:val="22"/>
          <w:szCs w:val="22"/>
        </w:rPr>
        <w:t xml:space="preserve">Correction, per 창호 this session: </w:t>
      </w:r>
      <w:r>
        <w:rPr>
          <w:sz w:val="22"/>
          <w:szCs w:val="22"/>
        </w:rPr>
        <w:t xml:space="preserve">the mapping target originally referenced ("WP#26 Table 4-2") does not exist in any project document. The actual register set is WP#24 §3's Transform Engine registers (DEMUX Engine, SEU Assembly Engine, MUX Engine) — WP#26 is the RTL implementation of those registers, not a separate register source. This section maps against WP#24 §3 directly.</w:t>
      </w:r>
    </w:p>
    <w:p>
      <w:pPr>
        <w:spacing w:after="160"/>
      </w:pPr>
      <w:r>
        <w:rPr>
          <w:b w:val="false"/>
          <w:bCs w:val="false"/>
          <w:i w:val="false"/>
          <w:iCs w:val="false"/>
          <w:sz w:val="22"/>
          <w:szCs w:val="22"/>
        </w:rPr>
        <w:t xml:space="preserve">Scope: the register/signal-level interface between the node equipment (WP#29 Slot structure, §10.7.3) and the Dedicated Equipment RTL, implemented via the Transform Engine registers defined in WP#24 §3.</w:t>
      </w:r>
    </w:p>
    <w:p>
      <w:pPr>
        <w:pStyle w:val="Heading2"/>
        <w:spacing w:after="160" w:before="280"/>
      </w:pPr>
      <w:r>
        <w:rPr>
          <w:b/>
          <w:bCs/>
        </w:rPr>
        <w:t xml:space="preserve">4.1 Slot 3/4 (Inbound Data Path) — SEU Assembly Registers</w:t>
      </w:r>
    </w:p>
    <w:p>
      <w:pPr>
        <w:spacing w:after="160"/>
      </w:pPr>
      <w:r>
        <w:rPr>
          <w:b w:val="false"/>
          <w:bCs w:val="false"/>
          <w:i w:val="false"/>
          <w:iCs w:val="false"/>
          <w:sz w:val="22"/>
          <w:szCs w:val="22"/>
        </w:rPr>
        <w:t xml:space="preserve">Per 창호's correction: these registers concern actual SEU assembly data, which per WP#29 §10.7.3 flows through Slot 3/4 ("inbound data reserve"), not Slot 2 (control-only, §6.1 Face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DEMUX_LANE_CFG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PAI (0x0) / EAI (0x1) mode</w:t>
            </w:r>
          </w:p>
        </w:tc>
      </w:tr>
      <w:tr>
        <w:tc>
          <w:tcPr>
            <w:tcW w:type="dxa" w:w="2400"/>
          </w:tcPr>
          <w:p>
            <w:r>
              <w:rPr>
                <w:b w:val="false"/>
                <w:bCs w:val="false"/>
                <w:sz w:val="20"/>
                <w:szCs w:val="20"/>
              </w:rPr>
              <w:t xml:space="preserve">SEU_WINDOW_CTRL</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SEU window (800–1500 ms)</w:t>
            </w:r>
          </w:p>
        </w:tc>
      </w:tr>
      <w:tr>
        <w:tc>
          <w:tcPr>
            <w:tcW w:type="dxa" w:w="2400"/>
          </w:tcPr>
          <w:p>
            <w:r>
              <w:rPr>
                <w:b w:val="false"/>
                <w:bCs w:val="false"/>
                <w:sz w:val="20"/>
                <w:szCs w:val="20"/>
              </w:rPr>
              <w:t xml:space="preserve">SEU_CHANNEL_COMPLETE</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per-channel completeness bitmap</w:t>
            </w:r>
          </w:p>
        </w:tc>
      </w:tr>
      <w:tr>
        <w:tc>
          <w:tcPr>
            <w:tcW w:type="dxa" w:w="2400"/>
          </w:tcPr>
          <w:p>
            <w:r>
              <w:rPr>
                <w:b w:val="false"/>
                <w:bCs w:val="false"/>
                <w:sz w:val="20"/>
                <w:szCs w:val="20"/>
              </w:rPr>
              <w:t xml:space="preserve">SEU_MISSING_FLAG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missing-channel flags</w:t>
            </w:r>
          </w:p>
        </w:tc>
      </w:tr>
      <w:tr>
        <w:tc>
          <w:tcPr>
            <w:tcW w:type="dxa" w:w="2400"/>
          </w:tcPr>
          <w:p>
            <w:r>
              <w:rPr>
                <w:b w:val="false"/>
                <w:bCs w:val="false"/>
                <w:sz w:val="20"/>
                <w:szCs w:val="20"/>
              </w:rPr>
              <w:t xml:space="preserve">SEU_ASSEMBLY_STATUS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SEU assembly state (0–3, WP#24 §3.2)</w:t>
            </w:r>
          </w:p>
        </w:tc>
      </w:tr>
    </w:tbl>
    <w:p>
      <w:pPr>
        <w:spacing w:after="200"/>
      </w:pPr>
      <w:r>
        <w:rPr>
          <w:i/>
          <w:iCs/>
          <w:sz w:val="20"/>
          <w:szCs w:val="20"/>
        </w:rPr>
        <w:t xml:space="preserve">Table 4-1. Slot 3/4 ↔ WP#24 SEU Assembly Engine Register Mapping — confirmed per 창호</w:t>
      </w:r>
    </w:p>
    <w:p>
      <w:pPr>
        <w:pStyle w:val="Heading2"/>
        <w:spacing w:after="160" w:before="280"/>
      </w:pPr>
      <w:r>
        <w:rPr>
          <w:b/>
          <w:bCs/>
        </w:rPr>
        <w:t xml:space="preserve">4.2 Slot 2 (Control/Cooperation Path) — Deferred to Section 5</w:t>
      </w:r>
    </w:p>
    <w:p>
      <w:pPr>
        <w:spacing w:after="160"/>
      </w:pPr>
      <w:r>
        <w:rPr>
          <w:b w:val="false"/>
          <w:bCs w:val="false"/>
          <w:i w:val="false"/>
          <w:iCs w:val="false"/>
          <w:sz w:val="22"/>
          <w:szCs w:val="22"/>
        </w:rPr>
        <w:t xml:space="preserve">Slot 2's 12 control cores (§10.7.3, Face 2 §6.1) carry PAI/EAI cooperation-request signaling — this is the Core Stack negotiation protocol's wire format, not a Transform Engine register. It is deliberately not mapped in this section; it will be defined when Section 5 (Core Stack Negotiation Message Encoding, resolves OI-29-03/OI-30-02) is drafted.</w:t>
      </w:r>
    </w:p>
    <w:p>
      <w:pPr>
        <w:pStyle w:val="Heading2"/>
        <w:spacing w:after="160" w:before="280"/>
      </w:pPr>
      <w:r>
        <w:rPr>
          <w:b/>
          <w:bCs/>
        </w:rPr>
        <w:t xml:space="preserve">4.3 Slot 1↔2 Pass Path — No Register (Direct Optical Connection)</w:t>
      </w:r>
    </w:p>
    <w:p>
      <w:pPr>
        <w:spacing w:after="160"/>
      </w:pPr>
      <w:r>
        <w:rPr>
          <w:b w:val="false"/>
          <w:bCs w:val="false"/>
          <w:i w:val="false"/>
          <w:iCs w:val="false"/>
          <w:sz w:val="22"/>
          <w:szCs w:val="22"/>
        </w:rPr>
        <w:t xml:space="preserve">The 180 direct-connect cores between Slot 1 and Slot 2 (§10.7.3, realizing the "external loopback" per §10.7.2) are a direct optical connection with O/E-EO conversion at each end — there is no WP#24 register involved, consistent with §10.7.1's description of the Pass function as physical forwarding rather than register-mediated switching.</w:t>
      </w:r>
    </w:p>
    <w:p>
      <w:pPr>
        <w:pStyle w:val="Heading2"/>
        <w:spacing w:after="160" w:before="280"/>
      </w:pPr>
      <w:r>
        <w:rPr>
          <w:b/>
          <w:bCs/>
        </w:rPr>
        <w:t xml:space="preserve">4.4 Bundle Uplink (Per-Instance) — MUX Engine Registers</w:t>
      </w:r>
    </w:p>
    <w:p>
      <w:pPr>
        <w:spacing w:after="160"/>
      </w:pPr>
      <w:r>
        <w:rPr>
          <w:b w:val="false"/>
          <w:bCs w:val="false"/>
          <w:i w:val="false"/>
          <w:iCs w:val="false"/>
          <w:sz w:val="22"/>
          <w:szCs w:val="22"/>
        </w:rPr>
        <w:t xml:space="preserve">Per 창호: the MUX Engine (WP#24 §3.3) operates at a different layer than the O8 Slot structure — it maps an individual PAI/EAI instance's cognition-bus lanes to that instance's own 24-core Bundle uplink, beneath the 192-core Slot layer rather than assigned to any 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MUX_CH_MAP</w:t>
            </w:r>
          </w:p>
        </w:tc>
        <w:tc>
          <w:tcPr>
            <w:tcW w:type="dxa" w:w="1400"/>
          </w:tcPr>
          <w:p>
            <w:r>
              <w:rPr>
                <w:b w:val="false"/>
                <w:bCs w:val="false"/>
                <w:sz w:val="20"/>
                <w:szCs w:val="20"/>
              </w:rPr>
              <w:t xml:space="preserve">128-bit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Cognition-bus lane → 24-core Bundle mapping table</w:t>
            </w:r>
          </w:p>
        </w:tc>
      </w:tr>
      <w:tr>
        <w:tc>
          <w:tcPr>
            <w:tcW w:type="dxa" w:w="2400"/>
          </w:tcPr>
          <w:p>
            <w:r>
              <w:rPr>
                <w:b w:val="false"/>
                <w:bCs w:val="false"/>
                <w:sz w:val="20"/>
                <w:szCs w:val="20"/>
              </w:rPr>
              <w:t xml:space="preserve">MUX_BUNDLE_STATUS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Bundle status (BUNDLE_READY / PARTIAL_BUNDLE / OVERFLOW)</w:t>
            </w:r>
          </w:p>
        </w:tc>
      </w:tr>
    </w:tbl>
    <w:p>
      <w:pPr>
        <w:spacing w:after="200"/>
      </w:pPr>
      <w:r>
        <w:rPr>
          <w:i/>
          <w:iCs/>
          <w:sz w:val="20"/>
          <w:szCs w:val="20"/>
        </w:rPr>
        <w:t xml:space="preserve">Table 4-2. Bundle Uplink (Per-Instance) ↔ WP#24 MUX Engine Register Mapping — confirmed per 창호</w:t>
      </w:r>
    </w:p>
    <w:p>
      <w:pPr>
        <w:pStyle w:val="Heading2"/>
        <w:spacing w:after="160" w:before="280"/>
      </w:pPr>
      <w:r>
        <w:rPr>
          <w:b/>
          <w:bCs/>
        </w:rPr>
        <w:t xml:space="preserve">4.5 Common Monitoring (All Slots) — DEMUX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DEMUX_FAULT_EXCLUDE</w:t>
            </w:r>
          </w:p>
        </w:tc>
        <w:tc>
          <w:tcPr>
            <w:tcW w:type="dxa" w:w="1400"/>
          </w:tcPr>
          <w:p>
            <w:r>
              <w:rPr>
                <w:b w:val="false"/>
                <w:bCs w:val="false"/>
                <w:sz w:val="20"/>
                <w:szCs w:val="20"/>
              </w:rPr>
              <w:t xml:space="preserve">384-bit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Bitmap of faulty cores auto-excluded</w:t>
            </w:r>
          </w:p>
        </w:tc>
      </w:tr>
      <w:tr>
        <w:tc>
          <w:tcPr>
            <w:tcW w:type="dxa" w:w="2400"/>
          </w:tcPr>
          <w:p>
            <w:r>
              <w:rPr>
                <w:b w:val="false"/>
                <w:bCs w:val="false"/>
                <w:sz w:val="20"/>
                <w:szCs w:val="20"/>
              </w:rPr>
              <w:t xml:space="preserve">DEMUX_LATENCY_MON</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Measured processing latency (target &lt;2ns, WP#24 §3.1)</w:t>
            </w:r>
          </w:p>
        </w:tc>
      </w:tr>
      <w:tr>
        <w:tc>
          <w:tcPr>
            <w:tcW w:type="dxa" w:w="2400"/>
          </w:tcPr>
          <w:p>
            <w:r>
              <w:rPr>
                <w:b w:val="false"/>
                <w:bCs w:val="false"/>
                <w:sz w:val="20"/>
                <w:szCs w:val="20"/>
              </w:rPr>
              <w:t xml:space="preserve">DEMUX_CLK_PLL_STATUS</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Per-channel PLL lock bitmap</w:t>
            </w:r>
          </w:p>
        </w:tc>
      </w:tr>
      <w:tr>
        <w:tc>
          <w:tcPr>
            <w:tcW w:type="dxa" w:w="2400"/>
          </w:tcPr>
          <w:p>
            <w:r>
              <w:rPr>
                <w:b w:val="false"/>
                <w:bCs w:val="false"/>
                <w:sz w:val="20"/>
                <w:szCs w:val="20"/>
              </w:rPr>
              <w:t xml:space="preserve">DEMUX_NONCOLLISION_CHK</w:t>
            </w:r>
          </w:p>
        </w:tc>
        <w:tc>
          <w:tcPr>
            <w:tcW w:type="dxa" w:w="1400"/>
          </w:tcPr>
          <w:p>
            <w:r>
              <w:rPr>
                <w:b w:val="false"/>
                <w:bCs w:val="false"/>
                <w:sz w:val="20"/>
                <w:szCs w:val="20"/>
              </w:rPr>
              <w:t xml:space="preserve">1-bit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Non-collision verification complete (POST-time check, Core(ri)∩Core(rj)=∅)</w:t>
            </w:r>
          </w:p>
        </w:tc>
      </w:tr>
    </w:tbl>
    <w:p>
      <w:pPr>
        <w:spacing w:after="200"/>
      </w:pPr>
      <w:r>
        <w:rPr>
          <w:i/>
          <w:iCs/>
          <w:sz w:val="20"/>
          <w:szCs w:val="20"/>
        </w:rPr>
        <w:t xml:space="preserve">Table 4-3. Common Monitoring ↔ WP#24 DEMUX Engine Register Mapping — confirmed per 창호</w:t>
      </w:r>
    </w:p>
    <w:p>
      <w:pPr>
        <w:pStyle w:val="Heading2"/>
        <w:spacing w:after="160" w:before="280"/>
      </w:pPr>
      <w:r>
        <w:rPr>
          <w:b/>
          <w:bCs/>
        </w:rPr>
        <w:t xml:space="preserve">4.6 EAI-Specific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SEU_CTRL_PLANE_WINDOW</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EAI-only control-plane window (CH9–CH16, independent of the cognition-plane window)</w:t>
            </w:r>
          </w:p>
        </w:tc>
      </w:tr>
    </w:tbl>
    <w:p>
      <w:pPr>
        <w:spacing w:after="200"/>
      </w:pPr>
      <w:r>
        <w:rPr>
          <w:i/>
          <w:iCs/>
          <w:sz w:val="20"/>
          <w:szCs w:val="20"/>
        </w:rPr>
        <w:t xml:space="preserve">Table 4-4. EAI Control Plane ↔ WP#24 Register Mapping — confirmed per 창호</w:t>
      </w:r>
    </w:p>
    <w:p>
      <w:pPr>
        <w:spacing w:after="200"/>
      </w:pPr>
      <w:r>
        <w:rPr>
          <w:b/>
          <w:bCs/>
          <w:i/>
          <w:iCs/>
          <w:sz w:val="22"/>
          <w:szCs w:val="22"/>
        </w:rPr>
        <w:t xml:space="preserve">Open — OI-30-01: </w:t>
      </w:r>
      <w:r>
        <w:rPr>
          <w:i/>
          <w:iCs/>
          <w:sz w:val="22"/>
          <w:szCs w:val="22"/>
        </w:rPr>
        <w:t xml:space="preserve">(Mostly resolved) Register-level mapping is confirmed for Slot 3/4, Bundle Uplink, common monitoring, and EAI control plane (Tables 4-1 through 4-4). Two parts remain open: (a) Slot 2's cooperation-request wire format, deferred to Section 5; and (b) handshake/timing between node and Dedicated Equipment (Valid/Ready vs. DMA-style) — not addressed this session.</w:t>
      </w:r>
    </w:p>
    <w:p>
      <w:pPr>
        <w:pStyle w:val="Heading1"/>
        <w:spacing w:after="160" w:before="280"/>
      </w:pPr>
      <w:r>
        <w:rPr>
          <w:b/>
          <w:bCs/>
        </w:rPr>
        <w:t xml:space="preserve">5. Core Stack Negotiation Message Encoding (resolves OI-29-03/OI-30-02)</w:t>
      </w:r>
    </w:p>
    <w:p>
      <w:pPr>
        <w:spacing w:after="160"/>
      </w:pPr>
      <w:r>
        <w:rPr>
          <w:b w:val="false"/>
          <w:bCs w:val="false"/>
          <w:i w:val="false"/>
          <w:iCs w:val="false"/>
          <w:sz w:val="22"/>
          <w:szCs w:val="22"/>
        </w:rPr>
        <w:t xml:space="preserve">Scope: bit-level encoding of the seven negotiation message types now fixed at the architecture level in WP#29 Table 7-1/7-1a (Attach; capability/health handshake; layer activation/deactivation request; equipment-initiated renegotiation; Release; Release_Ack; Force_Release, the last three added at WP#29 R9) — WP#29 fixes only the existence and message types, explicitly deferring the wire format to this document. These messages are carried over Slot 2's 12 control cores (§4.2).</w:t>
      </w:r>
    </w:p>
    <w:p>
      <w:pPr>
        <w:pStyle w:val="Heading2"/>
        <w:spacing w:after="160" w:before="280"/>
      </w:pPr>
      <w:r>
        <w:rPr>
          <w:b/>
          <w:bCs/>
        </w:rPr>
        <w:t xml:space="preserve">5.1 Frame Format</w:t>
      </w:r>
    </w:p>
    <w:p>
      <w:pPr>
        <w:spacing w:after="160"/>
      </w:pPr>
      <w:r>
        <w:rPr>
          <w:b w:val="false"/>
          <w:bCs w:val="false"/>
          <w:i w:val="false"/>
          <w:iCs w:val="false"/>
          <w:sz w:val="22"/>
          <w:szCs w:val="22"/>
        </w:rPr>
        <w:t xml:space="preserve">128-bit fixed-length frame, confirmed per 창호 this session, following the precedent already set by WP#24 §2.4's ACL violation log format (EPOCH_ID/TIMESTAMP_NS/REQUESTOR_ID/... = 128-bit unified audit format) — a negotiation message records who requested what and when, structurally similar to an audit entry.</w:t>
      </w:r>
    </w:p>
    <w:p>
      <w:pPr>
        <w:pStyle w:val="Heading2"/>
        <w:spacing w:after="160" w:before="280"/>
      </w:pPr>
      <w:r>
        <w:rPr>
          <w:b/>
          <w:bCs/>
        </w:rPr>
        <w:t xml:space="preserve">5.2 Common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4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6060"/>
            <w:shd w:fill="D9D9D9" w:val="clear"/>
          </w:tcPr>
          <w:p>
            <w:r>
              <w:rPr>
                <w:b/>
                <w:bCs/>
                <w:sz w:val="20"/>
                <w:szCs w:val="20"/>
              </w:rPr>
              <w:t xml:space="preserve">Description</w:t>
            </w:r>
          </w:p>
        </w:tc>
      </w:tr>
      <w:tr>
        <w:tc>
          <w:tcPr>
            <w:tcW w:type="dxa" w:w="1000"/>
          </w:tcPr>
          <w:p>
            <w:r>
              <w:rPr>
                <w:b w:val="false"/>
                <w:bCs w:val="false"/>
                <w:sz w:val="20"/>
                <w:szCs w:val="20"/>
              </w:rPr>
              <w:t xml:space="preserve">127:124</w:t>
            </w:r>
          </w:p>
        </w:tc>
        <w:tc>
          <w:tcPr>
            <w:tcW w:type="dxa" w:w="1400"/>
          </w:tcPr>
          <w:p>
            <w:r>
              <w:rPr>
                <w:b w:val="false"/>
                <w:bCs w:val="false"/>
                <w:sz w:val="20"/>
                <w:szCs w:val="20"/>
              </w:rPr>
              <w:t xml:space="preserve">MSG_TYPE</w:t>
            </w:r>
          </w:p>
        </w:tc>
        <w:tc>
          <w:tcPr>
            <w:tcW w:type="dxa" w:w="900"/>
          </w:tcPr>
          <w:p>
            <w:r>
              <w:rPr>
                <w:b w:val="false"/>
                <w:bCs w:val="false"/>
                <w:sz w:val="20"/>
                <w:szCs w:val="20"/>
              </w:rPr>
              <w:t xml:space="preserve">4</w:t>
            </w:r>
          </w:p>
        </w:tc>
        <w:tc>
          <w:tcPr>
            <w:tcW w:type="dxa" w:w="6060"/>
          </w:tcPr>
          <w:p>
            <w:r>
              <w:rPr>
                <w:b w:val="false"/>
                <w:bCs w:val="false"/>
                <w:sz w:val="20"/>
                <w:szCs w:val="20"/>
              </w:rPr>
              <w:t xml:space="preserve">See Table 5-1</w:t>
            </w:r>
          </w:p>
        </w:tc>
      </w:tr>
      <w:tr>
        <w:tc>
          <w:tcPr>
            <w:tcW w:type="dxa" w:w="1000"/>
          </w:tcPr>
          <w:p>
            <w:r>
              <w:rPr>
                <w:b w:val="false"/>
                <w:bCs w:val="false"/>
                <w:sz w:val="20"/>
                <w:szCs w:val="20"/>
              </w:rPr>
              <w:t xml:space="preserve">123:116</w:t>
            </w:r>
          </w:p>
        </w:tc>
        <w:tc>
          <w:tcPr>
            <w:tcW w:type="dxa" w:w="1400"/>
          </w:tcPr>
          <w:p>
            <w:r>
              <w:rPr>
                <w:b w:val="false"/>
                <w:bCs w:val="false"/>
                <w:sz w:val="20"/>
                <w:szCs w:val="20"/>
              </w:rPr>
              <w:t xml:space="preserve">SEQ_NUM</w:t>
            </w:r>
          </w:p>
        </w:tc>
        <w:tc>
          <w:tcPr>
            <w:tcW w:type="dxa" w:w="900"/>
          </w:tcPr>
          <w:p>
            <w:r>
              <w:rPr>
                <w:b w:val="false"/>
                <w:bCs w:val="false"/>
                <w:sz w:val="20"/>
                <w:szCs w:val="20"/>
              </w:rPr>
              <w:t xml:space="preserve">8</w:t>
            </w:r>
          </w:p>
        </w:tc>
        <w:tc>
          <w:tcPr>
            <w:tcW w:type="dxa" w:w="6060"/>
          </w:tcPr>
          <w:p>
            <w:r>
              <w:rPr>
                <w:b w:val="false"/>
                <w:bCs w:val="false"/>
                <w:sz w:val="20"/>
                <w:szCs w:val="20"/>
              </w:rPr>
              <w:t xml:space="preserve">Message sequence number</w:t>
            </w:r>
          </w:p>
        </w:tc>
      </w:tr>
      <w:tr>
        <w:tc>
          <w:tcPr>
            <w:tcW w:type="dxa" w:w="1000"/>
          </w:tcPr>
          <w:p>
            <w:r>
              <w:rPr>
                <w:b w:val="false"/>
                <w:bCs w:val="false"/>
                <w:sz w:val="20"/>
                <w:szCs w:val="20"/>
              </w:rPr>
              <w:t xml:space="preserve">115:68</w:t>
            </w:r>
          </w:p>
        </w:tc>
        <w:tc>
          <w:tcPr>
            <w:tcW w:type="dxa" w:w="1400"/>
          </w:tcPr>
          <w:p>
            <w:r>
              <w:rPr>
                <w:b w:val="false"/>
                <w:bCs w:val="false"/>
                <w:sz w:val="20"/>
                <w:szCs w:val="20"/>
              </w:rPr>
              <w:t xml:space="preserve">TIMESTAMP</w:t>
            </w:r>
          </w:p>
        </w:tc>
        <w:tc>
          <w:tcPr>
            <w:tcW w:type="dxa" w:w="900"/>
          </w:tcPr>
          <w:p>
            <w:r>
              <w:rPr>
                <w:b w:val="false"/>
                <w:bCs w:val="false"/>
                <w:sz w:val="20"/>
                <w:szCs w:val="20"/>
              </w:rPr>
              <w:t xml:space="preserve">48</w:t>
            </w:r>
          </w:p>
        </w:tc>
        <w:tc>
          <w:tcPr>
            <w:tcW w:type="dxa" w:w="6060"/>
          </w:tcPr>
          <w:p>
            <w:r>
              <w:rPr>
                <w:b w:val="false"/>
                <w:bCs w:val="false"/>
                <w:sz w:val="20"/>
                <w:szCs w:val="20"/>
              </w:rPr>
              <w:t xml:space="preserve">Reuses WP#24 §2.4's TIMESTAMP_NS width</w:t>
            </w:r>
          </w:p>
        </w:tc>
      </w:tr>
      <w:tr>
        <w:tc>
          <w:tcPr>
            <w:tcW w:type="dxa" w:w="1000"/>
          </w:tcPr>
          <w:p>
            <w:r>
              <w:rPr>
                <w:b w:val="false"/>
                <w:bCs w:val="false"/>
                <w:sz w:val="20"/>
                <w:szCs w:val="20"/>
              </w:rPr>
              <w:t xml:space="preserve">67:52</w:t>
            </w:r>
          </w:p>
        </w:tc>
        <w:tc>
          <w:tcPr>
            <w:tcW w:type="dxa" w:w="1400"/>
          </w:tcPr>
          <w:p>
            <w:r>
              <w:rPr>
                <w:b w:val="false"/>
                <w:bCs w:val="false"/>
                <w:sz w:val="20"/>
                <w:szCs w:val="20"/>
              </w:rPr>
              <w:t xml:space="preserve">ENTITY_ID</w:t>
            </w:r>
          </w:p>
        </w:tc>
        <w:tc>
          <w:tcPr>
            <w:tcW w:type="dxa" w:w="900"/>
          </w:tcPr>
          <w:p>
            <w:r>
              <w:rPr>
                <w:b w:val="false"/>
                <w:bCs w:val="false"/>
                <w:sz w:val="20"/>
                <w:szCs w:val="20"/>
              </w:rPr>
              <w:t xml:space="preserve">16</w:t>
            </w:r>
          </w:p>
        </w:tc>
        <w:tc>
          <w:tcPr>
            <w:tcW w:type="dxa" w:w="6060"/>
          </w:tcPr>
          <w:p>
            <w:r>
              <w:rPr>
                <w:b w:val="false"/>
                <w:bCs w:val="false"/>
                <w:sz w:val="20"/>
                <w:szCs w:val="20"/>
              </w:rPr>
              <w:t xml:space="preserve">PAI/EAI instance identifier — confirmed per 창호</w:t>
            </w:r>
          </w:p>
        </w:tc>
      </w:tr>
      <w:tr>
        <w:tc>
          <w:tcPr>
            <w:tcW w:type="dxa" w:w="1000"/>
          </w:tcPr>
          <w:p>
            <w:r>
              <w:rPr>
                <w:b w:val="false"/>
                <w:bCs w:val="false"/>
                <w:sz w:val="20"/>
                <w:szCs w:val="20"/>
              </w:rPr>
              <w:t xml:space="preserve">51:0</w:t>
            </w:r>
          </w:p>
        </w:tc>
        <w:tc>
          <w:tcPr>
            <w:tcW w:type="dxa" w:w="1400"/>
          </w:tcPr>
          <w:p>
            <w:r>
              <w:rPr>
                <w:b w:val="false"/>
                <w:bCs w:val="false"/>
                <w:sz w:val="20"/>
                <w:szCs w:val="20"/>
              </w:rPr>
              <w:t xml:space="preserve">PAYLOAD</w:t>
            </w:r>
          </w:p>
        </w:tc>
        <w:tc>
          <w:tcPr>
            <w:tcW w:type="dxa" w:w="900"/>
          </w:tcPr>
          <w:p>
            <w:r>
              <w:rPr>
                <w:b w:val="false"/>
                <w:bCs w:val="false"/>
                <w:sz w:val="20"/>
                <w:szCs w:val="20"/>
              </w:rPr>
              <w:t xml:space="preserve">52</w:t>
            </w:r>
          </w:p>
        </w:tc>
        <w:tc>
          <w:tcPr>
            <w:tcW w:type="dxa" w:w="6060"/>
          </w:tcPr>
          <w:p>
            <w:r>
              <w:rPr>
                <w:b w:val="false"/>
                <w:bCs w:val="false"/>
                <w:sz w:val="20"/>
                <w:szCs w:val="20"/>
              </w:rPr>
              <w:t xml:space="preserve">Message-type-specific, see §5.3</w:t>
            </w:r>
          </w:p>
        </w:tc>
      </w:tr>
    </w:tbl>
    <w:p>
      <w:pPr>
        <w:spacing w:after="200"/>
      </w:pPr>
      <w:r>
        <w:rPr>
          <w:i/>
          <w:iCs/>
          <w:sz w:val="20"/>
          <w:szCs w:val="20"/>
        </w:rPr>
        <w:t xml:space="preserve">Table 5-0. Common Header (76 bits) + Payload (52 bits) = 128-bit frame — confirmed per 창호</w:t>
      </w:r>
    </w:p>
    <w:p>
      <w:pPr>
        <w:pStyle w:val="Heading2"/>
        <w:spacing w:after="160" w:before="280"/>
      </w:pPr>
      <w:r>
        <w:rPr>
          <w:b/>
          <w:bCs/>
        </w:rPr>
        <w:t xml:space="preserve">5.3 Message Types and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MSG_TYPE</w:t>
            </w:r>
          </w:p>
        </w:tc>
        <w:tc>
          <w:tcPr>
            <w:tcW w:type="dxa" w:w="1800"/>
            <w:shd w:fill="D9D9D9" w:val="clear"/>
          </w:tcPr>
          <w:p>
            <w:r>
              <w:rPr>
                <w:b/>
                <w:bCs/>
                <w:sz w:val="20"/>
                <w:szCs w:val="20"/>
              </w:rPr>
              <w:t xml:space="preserve">Name</w:t>
            </w:r>
          </w:p>
        </w:tc>
        <w:tc>
          <w:tcPr>
            <w:tcW w:type="dxa" w:w="2000"/>
            <w:shd w:fill="D9D9D9" w:val="clear"/>
          </w:tcPr>
          <w:p>
            <w:r>
              <w:rPr>
                <w:b/>
                <w:bCs/>
                <w:sz w:val="20"/>
                <w:szCs w:val="20"/>
              </w:rPr>
              <w:t xml:space="preserve">Direction</w:t>
            </w:r>
          </w:p>
        </w:tc>
        <w:tc>
          <w:tcPr>
            <w:tcW w:type="dxa" w:w="4360"/>
            <w:shd w:fill="D9D9D9" w:val="clear"/>
          </w:tcPr>
          <w:p>
            <w:r>
              <w:rPr>
                <w:b/>
                <w:bCs/>
                <w:sz w:val="20"/>
                <w:szCs w:val="20"/>
              </w:rPr>
              <w:t xml:space="preserve">Purpose</w:t>
            </w:r>
          </w:p>
        </w:tc>
      </w:tr>
      <w:tr>
        <w:tc>
          <w:tcPr>
            <w:tcW w:type="dxa" w:w="1200"/>
          </w:tcPr>
          <w:p>
            <w:r>
              <w:rPr>
                <w:b w:val="false"/>
                <w:bCs w:val="false"/>
                <w:sz w:val="20"/>
                <w:szCs w:val="20"/>
              </w:rPr>
              <w:t xml:space="preserve">0x1</w:t>
            </w:r>
          </w:p>
        </w:tc>
        <w:tc>
          <w:tcPr>
            <w:tcW w:type="dxa" w:w="1800"/>
          </w:tcPr>
          <w:p>
            <w:r>
              <w:rPr>
                <w:b w:val="false"/>
                <w:bCs w:val="false"/>
                <w:sz w:val="20"/>
                <w:szCs w:val="20"/>
              </w:rPr>
              <w:t xml:space="preserve">Attach</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Equipment registration request</w:t>
            </w:r>
          </w:p>
        </w:tc>
      </w:tr>
      <w:tr>
        <w:tc>
          <w:tcPr>
            <w:tcW w:type="dxa" w:w="1200"/>
          </w:tcPr>
          <w:p>
            <w:r>
              <w:rPr>
                <w:b w:val="false"/>
                <w:bCs w:val="false"/>
                <w:sz w:val="20"/>
                <w:szCs w:val="20"/>
              </w:rPr>
              <w:t xml:space="preserve">0x2</w:t>
            </w:r>
          </w:p>
        </w:tc>
        <w:tc>
          <w:tcPr>
            <w:tcW w:type="dxa" w:w="1800"/>
          </w:tcPr>
          <w:p>
            <w:r>
              <w:rPr>
                <w:b w:val="false"/>
                <w:bCs w:val="false"/>
                <w:sz w:val="20"/>
                <w:szCs w:val="20"/>
              </w:rPr>
              <w:t xml:space="preserve">Handshake</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Capability/health check</w:t>
            </w:r>
          </w:p>
        </w:tc>
      </w:tr>
      <w:tr>
        <w:tc>
          <w:tcPr>
            <w:tcW w:type="dxa" w:w="1200"/>
          </w:tcPr>
          <w:p>
            <w:r>
              <w:rPr>
                <w:b w:val="false"/>
                <w:bCs w:val="false"/>
                <w:sz w:val="20"/>
                <w:szCs w:val="20"/>
              </w:rPr>
              <w:t xml:space="preserve">0x3</w:t>
            </w:r>
          </w:p>
        </w:tc>
        <w:tc>
          <w:tcPr>
            <w:tcW w:type="dxa" w:w="1800"/>
          </w:tcPr>
          <w:p>
            <w:r>
              <w:rPr>
                <w:b w:val="false"/>
                <w:bCs w:val="false"/>
                <w:sz w:val="20"/>
                <w:szCs w:val="20"/>
              </w:rPr>
              <w:t xml:space="preserve">Activation</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Layer activation/deactivation</w:t>
            </w:r>
          </w:p>
        </w:tc>
      </w:tr>
      <w:tr>
        <w:tc>
          <w:tcPr>
            <w:tcW w:type="dxa" w:w="1200"/>
          </w:tcPr>
          <w:p>
            <w:r>
              <w:rPr>
                <w:b w:val="false"/>
                <w:bCs w:val="false"/>
                <w:sz w:val="20"/>
                <w:szCs w:val="20"/>
              </w:rPr>
              <w:t xml:space="preserve">0x4</w:t>
            </w:r>
          </w:p>
        </w:tc>
        <w:tc>
          <w:tcPr>
            <w:tcW w:type="dxa" w:w="1800"/>
          </w:tcPr>
          <w:p>
            <w:r>
              <w:rPr>
                <w:b w:val="false"/>
                <w:bCs w:val="false"/>
                <w:sz w:val="20"/>
                <w:szCs w:val="20"/>
              </w:rPr>
              <w:t xml:space="preserve">Renegotiation</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Renegotiation request (e.g. on fault/power shortage)</w:t>
            </w:r>
          </w:p>
        </w:tc>
      </w:tr>
      <w:tr>
        <w:tc>
          <w:tcPr>
            <w:tcW w:type="dxa" w:w="1200"/>
          </w:tcPr>
          <w:p>
            <w:r>
              <w:rPr>
                <w:b w:val="false"/>
                <w:bCs w:val="false"/>
                <w:sz w:val="20"/>
                <w:szCs w:val="20"/>
              </w:rPr>
              <w:t xml:space="preserve">0x5</w:t>
            </w:r>
          </w:p>
        </w:tc>
        <w:tc>
          <w:tcPr>
            <w:tcW w:type="dxa" w:w="1800"/>
          </w:tcPr>
          <w:p>
            <w:r>
              <w:rPr>
                <w:b w:val="false"/>
                <w:bCs w:val="false"/>
                <w:sz w:val="20"/>
                <w:szCs w:val="20"/>
              </w:rPr>
              <w:t xml:space="preserve">Release</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Explicit, intentional disconnection request (WP#29 R9)</w:t>
            </w:r>
          </w:p>
        </w:tc>
      </w:tr>
      <w:tr>
        <w:tc>
          <w:tcPr>
            <w:tcW w:type="dxa" w:w="1200"/>
          </w:tcPr>
          <w:p>
            <w:r>
              <w:rPr>
                <w:b w:val="false"/>
                <w:bCs w:val="false"/>
                <w:sz w:val="20"/>
                <w:szCs w:val="20"/>
              </w:rPr>
              <w:t xml:space="preserve">0x6</w:t>
            </w:r>
          </w:p>
        </w:tc>
        <w:tc>
          <w:tcPr>
            <w:tcW w:type="dxa" w:w="1800"/>
          </w:tcPr>
          <w:p>
            <w:r>
              <w:rPr>
                <w:b w:val="false"/>
                <w:bCs w:val="false"/>
                <w:sz w:val="20"/>
                <w:szCs w:val="20"/>
              </w:rPr>
              <w:t xml:space="preserve">Release_Ack</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Confirms release completed (WP#29 R9)</w:t>
            </w:r>
          </w:p>
        </w:tc>
      </w:tr>
      <w:tr>
        <w:tc>
          <w:tcPr>
            <w:tcW w:type="dxa" w:w="1200"/>
          </w:tcPr>
          <w:p>
            <w:r>
              <w:rPr>
                <w:b w:val="false"/>
                <w:bCs w:val="false"/>
                <w:sz w:val="20"/>
                <w:szCs w:val="20"/>
              </w:rPr>
              <w:t xml:space="preserve">0x7</w:t>
            </w:r>
          </w:p>
        </w:tc>
        <w:tc>
          <w:tcPr>
            <w:tcW w:type="dxa" w:w="1800"/>
          </w:tcPr>
          <w:p>
            <w:r>
              <w:rPr>
                <w:b w:val="false"/>
                <w:bCs w:val="false"/>
                <w:sz w:val="20"/>
                <w:szCs w:val="20"/>
              </w:rPr>
              <w:t xml:space="preserve">Force_Release</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Node-initiated forced disconnection; NPU rule-based execution of §10.7.2, per WP#29 R9</w:t>
            </w:r>
          </w:p>
        </w:tc>
      </w:tr>
    </w:tbl>
    <w:p>
      <w:pPr>
        <w:spacing w:after="200"/>
      </w:pPr>
      <w:r>
        <w:rPr>
          <w:i/>
          <w:iCs/>
          <w:sz w:val="20"/>
          <w:szCs w:val="20"/>
        </w:rPr>
        <w:t xml:space="preserve">Table 5-1. MSG_TYPE Encoding — 7 types, confirmed per 창호 / WP#29 R9</w:t>
      </w:r>
    </w:p>
    <w:p>
      <w:pPr>
        <w:spacing w:after="160"/>
      </w:pPr>
      <w:r>
        <w:rPr>
          <w:b w:val="false"/>
          <w:bCs w:val="false"/>
          <w:i w:val="false"/>
          <w:iCs w:val="false"/>
          <w:sz w:val="22"/>
          <w:szCs w:val="22"/>
        </w:rPr>
        <w:t xml:space="preserve">Payload (52-bit) structure per message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MSG_TYPE</w:t>
            </w:r>
          </w:p>
        </w:tc>
        <w:tc>
          <w:tcPr>
            <w:tcW w:type="dxa" w:w="5560"/>
            <w:shd w:fill="D9D9D9" w:val="clear"/>
          </w:tcPr>
          <w:p>
            <w:r>
              <w:rPr>
                <w:b/>
                <w:bCs/>
                <w:sz w:val="20"/>
                <w:szCs w:val="20"/>
              </w:rPr>
              <w:t xml:space="preserve">Payload Field(s)</w:t>
            </w:r>
          </w:p>
        </w:tc>
        <w:tc>
          <w:tcPr>
            <w:tcW w:type="dxa" w:w="2200"/>
            <w:shd w:fill="D9D9D9" w:val="clear"/>
          </w:tcPr>
          <w:p>
            <w:r>
              <w:rPr>
                <w:b/>
                <w:bCs/>
                <w:sz w:val="20"/>
                <w:szCs w:val="20"/>
              </w:rPr>
              <w:t xml:space="preserve">Notes</w:t>
            </w:r>
          </w:p>
        </w:tc>
      </w:tr>
      <w:tr>
        <w:tc>
          <w:tcPr>
            <w:tcW w:type="dxa" w:w="1600"/>
          </w:tcPr>
          <w:p>
            <w:r>
              <w:rPr>
                <w:b w:val="false"/>
                <w:bCs w:val="false"/>
                <w:sz w:val="20"/>
                <w:szCs w:val="20"/>
              </w:rPr>
              <w:t xml:space="preserve">0x1 Attach</w:t>
            </w:r>
          </w:p>
        </w:tc>
        <w:tc>
          <w:tcPr>
            <w:tcW w:type="dxa" w:w="5560"/>
          </w:tcPr>
          <w:p>
            <w:r>
              <w:rPr>
                <w:b w:val="false"/>
                <w:bCs w:val="false"/>
                <w:sz w:val="20"/>
                <w:szCs w:val="20"/>
              </w:rPr>
              <w:t xml:space="preserve">CAPABILITY_FLAGS (bitmap of supported layers)</w:t>
            </w:r>
          </w:p>
        </w:tc>
        <w:tc>
          <w:tcPr>
            <w:tcW w:type="dxa" w:w="2200"/>
          </w:tcPr>
          <w:p>
            <w:r>
              <w:rPr>
                <w:b w:val="false"/>
                <w:bCs w:val="false"/>
                <w:sz w:val="20"/>
                <w:szCs w:val="20"/>
              </w:rPr>
              <w:t xml:space="preserve">PAI/EAI mode bit deliberately excluded — already carried by DEMUX_LANE_CFG (§4.1); avoids two sources of truth for the same fact, per 창호</w:t>
            </w:r>
          </w:p>
        </w:tc>
      </w:tr>
      <w:tr>
        <w:tc>
          <w:tcPr>
            <w:tcW w:type="dxa" w:w="1600"/>
          </w:tcPr>
          <w:p>
            <w:r>
              <w:rPr>
                <w:b w:val="false"/>
                <w:bCs w:val="false"/>
                <w:sz w:val="20"/>
                <w:szCs w:val="20"/>
              </w:rPr>
              <w:t xml:space="preserve">0x2 Handshake</w:t>
            </w:r>
          </w:p>
        </w:tc>
        <w:tc>
          <w:tcPr>
            <w:tcW w:type="dxa" w:w="5560"/>
          </w:tcPr>
          <w:p>
            <w:r>
              <w:rPr>
                <w:b w:val="false"/>
                <w:bCs w:val="false"/>
                <w:sz w:val="20"/>
                <w:szCs w:val="20"/>
              </w:rPr>
              <w:t xml:space="preserve">HEALTH_STATUS (2-bit) + RESERVED (50-bit)</w:t>
            </w:r>
          </w:p>
        </w:tc>
        <w:tc>
          <w:tcPr>
            <w:tcW w:type="dxa" w:w="2200"/>
          </w:tcPr>
          <w:p>
            <w:r>
              <w:rPr>
                <w:b w:val="false"/>
                <w:bCs w:val="false"/>
                <w:sz w:val="20"/>
                <w:szCs w:val="20"/>
              </w:rPr>
              <w:t xml:space="preserve">0x0 OK, 0x1 DEGRADED, 0x2 FAULT, 0x3 UNKNOWN</w:t>
            </w:r>
          </w:p>
        </w:tc>
      </w:tr>
      <w:tr>
        <w:tc>
          <w:tcPr>
            <w:tcW w:type="dxa" w:w="1600"/>
          </w:tcPr>
          <w:p>
            <w:r>
              <w:rPr>
                <w:b w:val="false"/>
                <w:bCs w:val="false"/>
                <w:sz w:val="20"/>
                <w:szCs w:val="20"/>
              </w:rPr>
              <w:t xml:space="preserve">0x3 Activation</w:t>
            </w:r>
          </w:p>
        </w:tc>
        <w:tc>
          <w:tcPr>
            <w:tcW w:type="dxa" w:w="5560"/>
          </w:tcPr>
          <w:p>
            <w:r>
              <w:rPr>
                <w:b w:val="false"/>
                <w:bCs w:val="false"/>
                <w:sz w:val="20"/>
                <w:szCs w:val="20"/>
              </w:rPr>
              <w:t xml:space="preserve">LAYER_ID (Core Stack layer 0–3, WP#25) + ACTION (1-bit: activate/deactivate) + RESERVED</w:t>
            </w:r>
          </w:p>
        </w:tc>
      </w:tr>
      <w:tr>
        <w:tc>
          <w:tcPr>
            <w:tcW w:type="dxa" w:w="1600"/>
          </w:tcPr>
          <w:p>
            <w:r>
              <w:rPr>
                <w:b w:val="false"/>
                <w:bCs w:val="false"/>
                <w:sz w:val="20"/>
                <w:szCs w:val="20"/>
              </w:rPr>
              <w:t xml:space="preserve">0x4 Renegotiation</w:t>
            </w:r>
          </w:p>
        </w:tc>
        <w:tc>
          <w:tcPr>
            <w:tcW w:type="dxa" w:w="5560"/>
          </w:tcPr>
          <w:p>
            <w:r>
              <w:rPr>
                <w:b w:val="false"/>
                <w:bCs w:val="false"/>
                <w:sz w:val="20"/>
                <w:szCs w:val="20"/>
              </w:rPr>
              <w:t xml:space="preserve">REASON_CODE (e.g. power shortage, WP#29 §7) + RESERVED</w:t>
            </w:r>
          </w:p>
        </w:tc>
      </w:tr>
      <w:tr>
        <w:tc>
          <w:tcPr>
            <w:tcW w:type="dxa" w:w="1600"/>
          </w:tcPr>
          <w:p>
            <w:r>
              <w:rPr>
                <w:b w:val="false"/>
                <w:bCs w:val="false"/>
                <w:sz w:val="20"/>
                <w:szCs w:val="20"/>
              </w:rPr>
              <w:t xml:space="preserve">0x5 Release</w:t>
            </w:r>
          </w:p>
        </w:tc>
        <w:tc>
          <w:tcPr>
            <w:tcW w:type="dxa" w:w="5560"/>
          </w:tcPr>
          <w:p>
            <w:r>
              <w:rPr>
                <w:b w:val="false"/>
                <w:bCs w:val="false"/>
                <w:sz w:val="20"/>
                <w:szCs w:val="20"/>
              </w:rPr>
              <w:t xml:space="preserve">RELEASE_REASON (8-bit: 0x0 normal termination, 0x1 user request, 0x2 session expiry, 0x3 resource reclaim) + RESERVED</w:t>
            </w:r>
          </w:p>
        </w:tc>
      </w:tr>
      <w:tr>
        <w:tc>
          <w:tcPr>
            <w:tcW w:type="dxa" w:w="1600"/>
          </w:tcPr>
          <w:p>
            <w:r>
              <w:rPr>
                <w:b w:val="false"/>
                <w:bCs w:val="false"/>
                <w:sz w:val="20"/>
                <w:szCs w:val="20"/>
              </w:rPr>
              <w:t xml:space="preserve">0x6 Release_Ack</w:t>
            </w:r>
          </w:p>
        </w:tc>
        <w:tc>
          <w:tcPr>
            <w:tcW w:type="dxa" w:w="5560"/>
          </w:tcPr>
          <w:p>
            <w:r>
              <w:rPr>
                <w:b w:val="false"/>
                <w:bCs w:val="false"/>
                <w:sz w:val="20"/>
                <w:szCs w:val="20"/>
              </w:rPr>
              <w:t xml:space="preserve">Echoes the RELEASE_REASON being acknowledged + RESERVED</w:t>
            </w:r>
          </w:p>
        </w:tc>
      </w:tr>
      <w:tr>
        <w:tc>
          <w:tcPr>
            <w:tcW w:type="dxa" w:w="1600"/>
          </w:tcPr>
          <w:p>
            <w:r>
              <w:rPr>
                <w:b w:val="false"/>
                <w:bCs w:val="false"/>
                <w:sz w:val="20"/>
                <w:szCs w:val="20"/>
              </w:rPr>
              <w:t xml:space="preserve">0x7 Force_Release</w:t>
            </w:r>
          </w:p>
        </w:tc>
        <w:tc>
          <w:tcPr>
            <w:tcW w:type="dxa" w:w="5560"/>
          </w:tcPr>
          <w:p>
            <w:r>
              <w:rPr>
                <w:b w:val="false"/>
                <w:bCs w:val="false"/>
                <w:sz w:val="20"/>
                <w:szCs w:val="20"/>
              </w:rPr>
              <w:t xml:space="preserve">FORCE_REASON (8-bit: 0x1 link loss, 0x2 power shortage, 0x3 hardware fault, 0x4 timeout) + RESERVED</w:t>
            </w:r>
          </w:p>
        </w:tc>
      </w:tr>
    </w:tbl>
    <w:p>
      <w:pPr>
        <w:spacing w:after="200"/>
      </w:pPr>
      <w:r>
        <w:rPr>
          <w:i/>
          <w:iCs/>
          <w:sz w:val="20"/>
          <w:szCs w:val="20"/>
        </w:rPr>
        <w:t xml:space="preserve">Table 5-2. Per-Message-Type Payload Structure (within the 52-bit PAYLOAD field) — confirmed per 창호</w:t>
      </w:r>
    </w:p>
    <w:p>
      <w:pPr>
        <w:spacing w:after="200"/>
      </w:pPr>
      <w:r>
        <w:rPr>
          <w:b/>
          <w:bCs/>
          <w:i/>
          <w:iCs/>
          <w:sz w:val="22"/>
          <w:szCs w:val="22"/>
        </w:rPr>
        <w:t xml:space="preserve">Open — OI-30-14: </w:t>
      </w:r>
      <w:r>
        <w:rPr>
          <w:i/>
          <w:iCs/>
          <w:sz w:val="22"/>
          <w:szCs w:val="22"/>
        </w:rPr>
        <w:t xml:space="preserve">Exact bit-level sub-field widths within each message type's 52-bit payload (e.g. how many bits for CAPABILITY_FLAGS vs. its RESERVED remainder) are fixed only where explicitly confirmed above (HEALTH_STATUS = 2-bit, RELEASE_REASON/FORCE_REASON = 8-bit); other fields' exact widths (CAPABILITY_FLAGS, LAYER_ID, REASON_CODE) are named but not bit-width-finalized.</w:t>
      </w:r>
    </w:p>
    <w:p>
      <w:pPr>
        <w:pStyle w:val="Heading1"/>
        <w:spacing w:after="160" w:before="280"/>
      </w:pPr>
      <w:r>
        <w:rPr>
          <w:b/>
          <w:bCs/>
        </w:rPr>
        <w:t xml:space="preserve">6. NPU–Matrix Command Interface (resolves OI-29-20/OI-30-03)</w:t>
      </w:r>
    </w:p>
    <w:p>
      <w:pPr>
        <w:spacing w:after="160"/>
      </w:pPr>
      <w:r>
        <w:rPr>
          <w:b/>
          <w:bCs/>
          <w:sz w:val="22"/>
          <w:szCs w:val="22"/>
        </w:rPr>
        <w:t xml:space="preserve">Per 창호: this section defines no new registers. </w:t>
      </w:r>
      <w:r>
        <w:rPr>
          <w:sz w:val="22"/>
          <w:szCs w:val="22"/>
        </w:rPr>
        <w:t xml:space="preserve">§3.1.3's MONITOR_EVENT_REG and MONITOR_CONFIG_REG already implement WP#29 §10.7.11's NPU–Matrix command interface at the RTL level (as stated at §3.1.1). §6 re-presents them from the NPU–Matrix relationship's point of view, rather than defining a separate NPU_CMD_REG/MATRIX_EVENT_REG pair — which would have duplicated the same information in two places.</w:t>
      </w:r>
    </w:p>
    <w:p>
      <w:pPr>
        <w:pStyle w:val="Heading2"/>
        <w:spacing w:after="160" w:before="280"/>
      </w:pPr>
      <w:r>
        <w:rPr>
          <w:b/>
          <w:bCs/>
        </w:rPr>
        <w:t xml:space="preserve">6.1 NPU → Matrix Command Interface</w:t>
      </w:r>
    </w:p>
    <w:p>
      <w:pPr>
        <w:spacing w:after="160"/>
      </w:pPr>
      <w:r>
        <w:rPr>
          <w:b w:val="false"/>
          <w:bCs w:val="false"/>
          <w:i w:val="false"/>
          <w:iCs w:val="false"/>
          <w:sz w:val="22"/>
          <w:szCs w:val="22"/>
        </w:rPr>
        <w:t xml:space="preserve">Realized by MONITOR_CONFIG_REG (§3.1.3, Table 3-2d). The NPU configures Matrix monitoring/scaling behavior — MONITOR_EN, EVENT_REPORT_EN, BER_THRESHOLD_LEVEL, SCALE_UP/DOWN_THRESHOLD — through this register; no separate command register exists.</w:t>
      </w:r>
    </w:p>
    <w:p>
      <w:pPr>
        <w:pStyle w:val="Heading2"/>
        <w:spacing w:after="160" w:before="280"/>
      </w:pPr>
      <w:r>
        <w:rPr>
          <w:b/>
          <w:bCs/>
        </w:rPr>
        <w:t xml:space="preserve">6.2 Matrix → NPU Event Interface</w:t>
      </w:r>
    </w:p>
    <w:p>
      <w:pPr>
        <w:spacing w:after="160"/>
      </w:pPr>
      <w:r>
        <w:rPr>
          <w:b w:val="false"/>
          <w:bCs w:val="false"/>
          <w:i w:val="false"/>
          <w:iCs w:val="false"/>
          <w:sz w:val="22"/>
          <w:szCs w:val="22"/>
        </w:rPr>
        <w:t xml:space="preserve">Realized by MONITOR_EVENT_REG (§3.1.3, Table 3-2b) and MONITOR_STATUS_REG (Table 3-2c). The Matrix reports link-status events (LOS, BER, FACE_ID, ACTION) to the NPU through these registers; Force_Release (WP#29 §7.0a/R9) is executed via this same path, per §3.3's rule evaluator.</w:t>
      </w:r>
    </w:p>
    <w:p>
      <w:pPr>
        <w:pStyle w:val="Heading2"/>
        <w:spacing w:after="160" w:before="280"/>
      </w:pPr>
      <w:r>
        <w:rPr>
          <w:b/>
          <w:bCs/>
        </w:rPr>
        <w:t xml:space="preserve">6.3 Interrupt / Polling</w:t>
      </w:r>
    </w:p>
    <w:p>
      <w:pPr>
        <w:spacing w:after="160"/>
      </w:pPr>
      <w:r>
        <w:rPr>
          <w:b w:val="false"/>
          <w:bCs w:val="false"/>
          <w:i w:val="false"/>
          <w:iCs w:val="false"/>
          <w:sz w:val="22"/>
          <w:szCs w:val="22"/>
        </w:rPr>
        <w:t xml:space="preserve">Controlled by MONITOR_CONFIG_REG.EVENT_REPORT_EN (§3.2d): when set, the Matrix's event reporting to the NPU is interrupt-driven; when clear, the NPU must poll MONITOR_EVENT_REG/MONITOR_STATUS_REG directly. No new field is needed — this bit already exists.</w:t>
      </w:r>
    </w:p>
    <w:p>
      <w:pPr>
        <w:pStyle w:val="Heading2"/>
        <w:spacing w:after="160" w:before="280"/>
      </w:pPr>
      <w:r>
        <w:rPr>
          <w:b/>
          <w:bCs/>
        </w:rPr>
        <w:t xml:space="preserve">6.4 Open Items</w:t>
      </w:r>
    </w:p>
    <w:p>
      <w:pPr>
        <w:spacing w:after="200"/>
      </w:pPr>
      <w:r>
        <w:rPr>
          <w:b/>
          <w:bCs/>
          <w:i/>
          <w:iCs/>
          <w:sz w:val="22"/>
          <w:szCs w:val="22"/>
        </w:rPr>
        <w:t xml:space="preserve">Open — OI-30-15: </w:t>
      </w:r>
      <w:r>
        <w:rPr>
          <w:i/>
          <w:iCs/>
          <w:sz w:val="22"/>
          <w:szCs w:val="22"/>
        </w:rPr>
        <w:t xml:space="preserve">LAYER_MASK — a bitmask over Core Stack Layers 0–3 (WP#25 §B.13.1) — is referenced as a plausible Activation-message field (§5.3) but WP#25 defines the layers themselves, not a bitmask encoding of them. Bit assignment not finalized.</w:t>
      </w:r>
    </w:p>
    <w:p>
      <w:pPr>
        <w:spacing w:after="200"/>
      </w:pPr>
      <w:r>
        <w:rPr>
          <w:b/>
          <w:bCs/>
          <w:i/>
          <w:iCs/>
          <w:sz w:val="22"/>
          <w:szCs w:val="22"/>
        </w:rPr>
        <w:t xml:space="preserve">Open — OI-30-16: </w:t>
      </w:r>
      <w:r>
        <w:rPr>
          <w:i/>
          <w:iCs/>
          <w:sz w:val="22"/>
          <w:szCs w:val="22"/>
        </w:rPr>
        <w:t xml:space="preserve">Command latency budget for NPU→Matrix execution (event detection to action execution) is not specified. WP#25 Table A-5's &lt;100ns figure is a PTP synchronization accuracy budget, not a command-execution latency budget — the two are different quantities and the latter has no fixed value yet.</w:t>
      </w:r>
    </w:p>
    <w:p>
      <w:pPr>
        <w:pStyle w:val="Heading1"/>
        <w:spacing w:after="160" w:before="280"/>
      </w:pPr>
      <w:r>
        <w:rPr>
          <w:b/>
          <w:bCs/>
        </w:rPr>
        <w:t xml:space="preserve">7. Matrix Physical Implementation</w:t>
      </w:r>
    </w:p>
    <w:p>
      <w:pPr>
        <w:spacing w:after="160"/>
      </w:pPr>
      <w:r>
        <w:rPr>
          <w:b w:val="false"/>
          <w:bCs w:val="false"/>
          <w:i w:val="false"/>
          <w:iCs w:val="false"/>
          <w:sz w:val="22"/>
          <w:szCs w:val="22"/>
        </w:rPr>
        <w:t xml:space="preserve">Scope: physical realization of the Matrix switching/routing RTL (Section 3) as semiconductor hardware — circuit design, FPGA→ASIC process migration following the pattern already established in WP#26, and die-level layout. Explicitly distinguished from WP#32's board-level (PCB) layout, per WP#29 R7.</w:t>
      </w:r>
    </w:p>
    <w:p>
      <w:pPr>
        <w:pStyle w:val="Heading2"/>
        <w:spacing w:after="160" w:before="280"/>
      </w:pPr>
      <w:r>
        <w:rPr>
          <w:b/>
          <w:bCs/>
        </w:rPr>
        <w:t xml:space="preserve">7.1 FPGA Prototype Target</w:t>
      </w:r>
    </w:p>
    <w:p>
      <w:pPr>
        <w:spacing w:after="160"/>
      </w:pPr>
      <w:r>
        <w:rPr>
          <w:b w:val="false"/>
          <w:bCs w:val="false"/>
          <w:i w:val="false"/>
          <w:iCs w:val="false"/>
          <w:sz w:val="22"/>
          <w:szCs w:val="22"/>
        </w:rPr>
        <w:t xml:space="preserve">Per WP#24 Table 5-1 / WP#26 §4.4 precedent: Xilinx UltraScale+ recommended for prototyping and initial low-volume production, inherited here for the Matrix switch fabric's FPGA stage.</w:t>
      </w:r>
    </w:p>
    <w:p>
      <w:pPr>
        <w:spacing w:after="160"/>
      </w:pPr>
      <w:r>
        <w:rPr>
          <w:b w:val="false"/>
          <w:bCs w:val="false"/>
          <w:i w:val="false"/>
          <w:iCs w:val="false"/>
          <w:sz w:val="22"/>
          <w:szCs w:val="22"/>
        </w:rPr>
        <w:t xml:space="preserve">Resource floor and transceiver requirement, per 창호 this session: estimated resource requirement is ≥VU9P equivalent (WP#26 OI-02's candidate device, used here as a floor given the Matrix fabric's larger port count than a single SEU1 engine instance). The 800G PAM4 SerDes requirement points toward GTM-class transceivers (58Gbps, already named as a WP#26 §7.2 PHY option for 800G) rather than the older GTY class — which in practice points toward VU19P or a newer UltraScale+/Versal family, since GTM support is not present on earlier-generation parts like VU9P/VU13P.</w:t>
      </w:r>
    </w:p>
    <w:p>
      <w:pPr>
        <w:spacing w:after="200"/>
      </w:pPr>
      <w:r>
        <w:rPr>
          <w:b/>
          <w:bCs/>
          <w:i/>
          <w:iCs/>
          <w:sz w:val="22"/>
          <w:szCs w:val="22"/>
        </w:rPr>
        <w:t xml:space="preserve">Open — OI-30-05: </w:t>
      </w:r>
      <w:r>
        <w:rPr>
          <w:i/>
          <w:iCs/>
          <w:sz w:val="22"/>
          <w:szCs w:val="22"/>
        </w:rPr>
        <w:t xml:space="preserve">(Narrowed) A specific device is not yet selected, but the requirement is narrowed: ≥VU9P-equivalent resource floor, GTM-class transceiver support (→ VU19P or newer family, not VU9P/VU13P themselves, which lack GTM). Precise LUT/BRAM/DSP/SerDes occupancy still requires RTL synthesis against a chosen device, not yet performed — same open status as WP#26 OI-02 for SEU1, now with a narrower device-family constraint.</w:t>
      </w:r>
    </w:p>
    <w:p>
      <w:pPr>
        <w:pStyle w:val="Heading2"/>
        <w:spacing w:after="160" w:before="280"/>
      </w:pPr>
      <w:r>
        <w:rPr>
          <w:b/>
          <w:bCs/>
        </w:rPr>
        <w:t xml:space="preserve">7.2 ASIC Process Node (Resolved this session)</w:t>
      </w:r>
    </w:p>
    <w:p>
      <w:pPr>
        <w:spacing w:after="160"/>
      </w:pPr>
      <w:r>
        <w:rPr>
          <w:b/>
          <w:bCs/>
          <w:sz w:val="22"/>
          <w:szCs w:val="22"/>
        </w:rPr>
        <w:t xml:space="preserve">Decision, per 창호: 16nm-class mature node, phased. </w:t>
      </w:r>
      <w:r>
        <w:rPr>
          <w:sz w:val="22"/>
          <w:szCs w:val="22"/>
        </w:rPr>
        <w:t xml:space="preserve">WP#26 §4.5's SEU1 rationale (mature node sufficient, control-dominated logic) was explicitly NOT assumed to transfer automatically to the Matrix fabric — see the density/latency concern raised earlier this session. Having weighed that concern against Velsanet's current program stage (architecture record / RTL / PCB design — not pre-tapeout), 창호 selected a 16nm-class mature node for the initial ASIC target, with a 5nm-class migration explicitly kept open as a later roadmap step rather than a current commitment.</w:t>
      </w:r>
    </w:p>
    <w:p>
      <w:pPr>
        <w:spacing w:after="160"/>
      </w:pPr>
      <w:r>
        <w:rPr>
          <w:b w:val="false"/>
          <w:bCs w:val="false"/>
          <w:i w:val="false"/>
          <w:iCs w:val="false"/>
          <w:sz w:val="22"/>
          <w:szCs w:val="22"/>
        </w:rPr>
        <w:t xml:space="preserve">Rationale (창호's evaluation): at Velsanet's current stage, a 16nm node offers a mature EDA toolchain and rich reference designs (predictable schedule), lower mask cost and higher yield (lower up-front risk), and — per the power estimate below — sufficient PMIC headroom without requiring the density gains a leading-edge node would provide. 800G-class switching has industry precedent at 16nm. The roadmap explicitly keeps a future 16nm→5nm migration open once market response and power/area competitiveness at scale justify the substantially higher 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Phase</w:t>
            </w:r>
          </w:p>
        </w:tc>
        <w:tc>
          <w:tcPr>
            <w:tcW w:type="dxa" w:w="2600"/>
            <w:shd w:fill="D9D9D9" w:val="clear"/>
          </w:tcPr>
          <w:p>
            <w:r>
              <w:rPr>
                <w:b/>
                <w:bCs/>
                <w:sz w:val="20"/>
                <w:szCs w:val="20"/>
              </w:rPr>
              <w:t xml:space="preserve">Target</w:t>
            </w:r>
          </w:p>
        </w:tc>
        <w:tc>
          <w:tcPr>
            <w:tcW w:type="dxa" w:w="4960"/>
            <w:shd w:fill="D9D9D9" w:val="clear"/>
          </w:tcPr>
          <w:p>
            <w:r>
              <w:rPr>
                <w:b/>
                <w:bCs/>
                <w:sz w:val="20"/>
                <w:szCs w:val="20"/>
              </w:rPr>
              <w:t xml:space="preserve">Trigger / Rationale</w:t>
            </w:r>
          </w:p>
        </w:tc>
      </w:tr>
      <w:tr>
        <w:tc>
          <w:tcPr>
            <w:tcW w:type="dxa" w:w="1800"/>
          </w:tcPr>
          <w:p>
            <w:r>
              <w:rPr>
                <w:b w:val="false"/>
                <w:bCs w:val="false"/>
                <w:sz w:val="20"/>
                <w:szCs w:val="20"/>
              </w:rPr>
              <w:t xml:space="preserve">Phase 1 (current)</w:t>
            </w:r>
          </w:p>
        </w:tc>
        <w:tc>
          <w:tcPr>
            <w:tcW w:type="dxa" w:w="2600"/>
          </w:tcPr>
          <w:p>
            <w:r>
              <w:rPr>
                <w:b w:val="false"/>
                <w:bCs w:val="false"/>
                <w:sz w:val="20"/>
                <w:szCs w:val="20"/>
              </w:rPr>
              <w:t xml:space="preserve">16nm-class mature node</w:t>
            </w:r>
          </w:p>
        </w:tc>
        <w:tc>
          <w:tcPr>
            <w:tcW w:type="dxa" w:w="4960"/>
          </w:tcPr>
          <w:p>
            <w:r>
              <w:rPr>
                <w:b w:val="false"/>
                <w:bCs w:val="false"/>
                <w:sz w:val="20"/>
                <w:szCs w:val="20"/>
              </w:rPr>
              <w:t xml:space="preserve">RTL/physical design proceeds on 16nm reference; PMIC headroom confirmed (170W available vs. ~110–155W estimated ASIC draw, see below); low mask cost keeps focus on design verification</w:t>
            </w:r>
          </w:p>
        </w:tc>
      </w:tr>
      <w:tr>
        <w:tc>
          <w:tcPr>
            <w:tcW w:type="dxa" w:w="1800"/>
          </w:tcPr>
          <w:p>
            <w:r>
              <w:rPr>
                <w:b w:val="false"/>
                <w:bCs w:val="false"/>
                <w:sz w:val="20"/>
                <w:szCs w:val="20"/>
              </w:rPr>
              <w:t xml:space="preserve">Phase 2 (future, not committed)</w:t>
            </w:r>
          </w:p>
        </w:tc>
        <w:tc>
          <w:tcPr>
            <w:tcW w:type="dxa" w:w="2600"/>
          </w:tcPr>
          <w:p>
            <w:r>
              <w:rPr>
                <w:b w:val="false"/>
                <w:bCs w:val="false"/>
                <w:sz w:val="20"/>
                <w:szCs w:val="20"/>
              </w:rPr>
              <w:t xml:space="preserve">5nm-class node, contingent</w:t>
            </w:r>
          </w:p>
        </w:tc>
        <w:tc>
          <w:tcPr>
            <w:tcW w:type="dxa" w:w="4960"/>
          </w:tcPr>
          <w:p>
            <w:r>
              <w:rPr>
                <w:b w:val="false"/>
                <w:bCs w:val="false"/>
                <w:sz w:val="20"/>
                <w:szCs w:val="20"/>
              </w:rPr>
              <w:t xml:space="preserve">Revisit once 16nm product market response is known, and power/area optimization is confirmed as a competitive requirement; would require accumulated 5nm design experience via external IP/foundry partnership</w:t>
            </w:r>
          </w:p>
        </w:tc>
      </w:tr>
    </w:tbl>
    <w:p>
      <w:pPr>
        <w:spacing w:after="200"/>
      </w:pPr>
      <w:r>
        <w:rPr>
          <w:i/>
          <w:iCs/>
          <w:sz w:val="20"/>
          <w:szCs w:val="20"/>
        </w:rPr>
        <w:t xml:space="preserve">Table 7-1a. ASIC Process Node Roadmap — decided per 창호 this session</w:t>
      </w:r>
    </w:p>
    <w:p>
      <w:pPr>
        <w:spacing w:after="160"/>
      </w:pPr>
      <w:r>
        <w:rPr>
          <w:b w:val="false"/>
          <w:bCs w:val="false"/>
          <w:i w:val="false"/>
          <w:iCs w:val="false"/>
          <w:sz w:val="22"/>
          <w:szCs w:val="22"/>
        </w:rPr>
        <w:t xml:space="preserve">Power estimate supporting Phase 1 (order-of-magnitude, not a synthesis-derived figure): WP#31 §5 Table 5-1's VU19P FPGA rail set totals approximately 225W at maximum current draw (170W VCCINT alone, MPM3695-100 ×2 at up to 200A). Applying the general FPGA→ASIC power-reduction precedent already used for SEU1 (WP#26 §4.5/§8.1, though not automatically assumed to transfer at Matrix scale — §7.2 above), an ASIC implementation might draw on the order of 110–155W, leaving headroom under the existing 170W VCCINT-equivalent PMIC capacity. This is an estimate for process-node decision purposes, not a die power budget — see OI-30-06 (§7.4), which remains open for the actual synthesis-derived figure.</w:t>
      </w:r>
    </w:p>
    <w:p>
      <w:pPr>
        <w:spacing w:after="200"/>
      </w:pPr>
      <w:r>
        <w:rPr>
          <w:b/>
          <w:bCs/>
          <w:i/>
          <w:iCs/>
          <w:sz w:val="22"/>
          <w:szCs w:val="22"/>
        </w:rPr>
        <w:t xml:space="preserve">Open — OI-30-17: </w:t>
      </w:r>
      <w:r>
        <w:rPr>
          <w:i/>
          <w:iCs/>
          <w:sz w:val="22"/>
          <w:szCs w:val="22"/>
        </w:rPr>
        <w:t xml:space="preserve">(Resolved — 16nm-class, Phase 1; reframed per 창호) Rather than narrowing to one named foundry, this item is now a vendor-agnostic qualification: any foundry satisfying §7.2.1's requirements qualifies, and the specific vendor remains genuinely open. Three independent candidate-screening reports (ARM+Samsung, Intel+Broadcom, NVIDIA+TSMC — each self-labeled "Independent Technical Analysis," not vendor-committed data) are logged as screening references, not as a shortlist to choose among. The 5nm migration trigger conditions (Table 7-1a, Phase 2) remain directional, not committed criteria with numeric thresholds.</w:t>
      </w:r>
    </w:p>
    <w:p>
      <w:pPr>
        <w:pStyle w:val="Heading2"/>
        <w:spacing w:after="160" w:before="280"/>
      </w:pPr>
      <w:r>
        <w:rPr>
          <w:b/>
          <w:bCs/>
        </w:rPr>
        <w:t xml:space="preserve">7.2.1 Foundry Qualification Requirements (Vendor-Agnostic)</w:t>
      </w:r>
    </w:p>
    <w:p>
      <w:pPr>
        <w:spacing w:after="160"/>
      </w:pPr>
      <w:r>
        <w:rPr>
          <w:b w:val="false"/>
          <w:bCs w:val="false"/>
          <w:i w:val="false"/>
          <w:iCs w:val="false"/>
          <w:sz w:val="22"/>
          <w:szCs w:val="22"/>
        </w:rPr>
        <w:t xml:space="preserve">Per 창호's explicit direction this session: the foundry decision for OI-30-17 is not about choosing among named vendors — it is about defining the requirements any foundry must satisfy.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Requirement</w:t>
            </w:r>
          </w:p>
        </w:tc>
        <w:tc>
          <w:tcPr>
            <w:tcW w:type="dxa" w:w="4560"/>
            <w:shd w:fill="D9D9D9" w:val="clear"/>
          </w:tcPr>
          <w:p>
            <w:r>
              <w:rPr>
                <w:b/>
                <w:bCs/>
                <w:sz w:val="20"/>
                <w:szCs w:val="20"/>
              </w:rPr>
              <w:t xml:space="preserve">Specification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Process node</w:t>
            </w:r>
          </w:p>
        </w:tc>
        <w:tc>
          <w:tcPr>
            <w:tcW w:type="dxa" w:w="4560"/>
          </w:tcPr>
          <w:p>
            <w:r>
              <w:rPr>
                <w:b w:val="false"/>
                <w:bCs w:val="false"/>
                <w:sz w:val="20"/>
                <w:szCs w:val="20"/>
              </w:rPr>
              <w:t xml:space="preserve">16nm-class mature node (Phase 1); 5nm-class as future roadmap, trigger conditions not yet numeric</w:t>
            </w:r>
          </w:p>
        </w:tc>
        <w:tc>
          <w:tcPr>
            <w:tcW w:type="dxa" w:w="2600"/>
          </w:tcPr>
          <w:p>
            <w:r>
              <w:rPr>
                <w:b w:val="false"/>
                <w:bCs w:val="false"/>
                <w:sz w:val="20"/>
                <w:szCs w:val="20"/>
              </w:rPr>
              <w:t xml:space="preserve">WP#26 §8.2 precedent; WP#30 Table 7-1a</w:t>
            </w:r>
          </w:p>
        </w:tc>
      </w:tr>
      <w:tr>
        <w:tc>
          <w:tcPr>
            <w:tcW w:type="dxa" w:w="2200"/>
          </w:tcPr>
          <w:p>
            <w:r>
              <w:rPr>
                <w:b w:val="false"/>
                <w:bCs w:val="false"/>
                <w:sz w:val="20"/>
                <w:szCs w:val="20"/>
              </w:rPr>
              <w:t xml:space="preserve">SerDes</w:t>
            </w:r>
          </w:p>
        </w:tc>
        <w:tc>
          <w:tcPr>
            <w:tcW w:type="dxa" w:w="4560"/>
          </w:tcPr>
          <w:p>
            <w:r>
              <w:rPr>
                <w:b w:val="false"/>
                <w:bCs w:val="false"/>
                <w:sz w:val="20"/>
                <w:szCs w:val="20"/>
              </w:rPr>
              <w:t xml:space="preserve">GTM-class, 800G PAM4 per-core support</w:t>
            </w:r>
          </w:p>
        </w:tc>
        <w:tc>
          <w:tcPr>
            <w:tcW w:type="dxa" w:w="2600"/>
          </w:tcPr>
          <w:p>
            <w:r>
              <w:rPr>
                <w:b w:val="false"/>
                <w:bCs w:val="false"/>
                <w:sz w:val="20"/>
                <w:szCs w:val="20"/>
              </w:rPr>
              <w:t xml:space="preserve">WP#26 §4.4/§7</w:t>
            </w:r>
          </w:p>
        </w:tc>
      </w:tr>
      <w:tr>
        <w:tc>
          <w:tcPr>
            <w:tcW w:type="dxa" w:w="2200"/>
          </w:tcPr>
          <w:p>
            <w:r>
              <w:rPr>
                <w:b w:val="false"/>
                <w:bCs w:val="false"/>
                <w:sz w:val="20"/>
                <w:szCs w:val="20"/>
              </w:rPr>
              <w:t xml:space="preserve">Power envelope</w:t>
            </w:r>
          </w:p>
        </w:tc>
        <w:tc>
          <w:tcPr>
            <w:tcW w:type="dxa" w:w="4560"/>
          </w:tcPr>
          <w:p>
            <w:r>
              <w:rPr>
                <w:b w:val="false"/>
                <w:bCs w:val="false"/>
                <w:sz w:val="20"/>
                <w:szCs w:val="20"/>
              </w:rPr>
              <w:t xml:space="preserve">Must accommodate ASIC-stage estimate of 110–155W (order-of-magnitude, not synthesis-derived)</w:t>
            </w:r>
          </w:p>
        </w:tc>
        <w:tc>
          <w:tcPr>
            <w:tcW w:type="dxa" w:w="2600"/>
          </w:tcPr>
          <w:p>
            <w:r>
              <w:rPr>
                <w:b w:val="false"/>
                <w:bCs w:val="false"/>
                <w:sz w:val="20"/>
                <w:szCs w:val="20"/>
              </w:rPr>
              <w:t xml:space="preserve">WP#31 §5.1a</w:t>
            </w:r>
          </w:p>
        </w:tc>
      </w:tr>
      <w:tr>
        <w:tc>
          <w:tcPr>
            <w:tcW w:type="dxa" w:w="2200"/>
          </w:tcPr>
          <w:p>
            <w:r>
              <w:rPr>
                <w:b w:val="false"/>
                <w:bCs w:val="false"/>
                <w:sz w:val="20"/>
                <w:szCs w:val="20"/>
              </w:rPr>
              <w:t xml:space="preserve">Silicon photonics</w:t>
            </w:r>
          </w:p>
        </w:tc>
        <w:tc>
          <w:tcPr>
            <w:tcW w:type="dxa" w:w="4560"/>
          </w:tcPr>
          <w:p>
            <w:r>
              <w:rPr>
                <w:b w:val="false"/>
                <w:bCs w:val="false"/>
                <w:sz w:val="20"/>
                <w:szCs w:val="20"/>
              </w:rPr>
              <w:t xml:space="preserve">Foundry must offer a silicon photonics PDK compatible with MOCT's polymer waveguide / semiconductor matrix layer</w:t>
            </w:r>
          </w:p>
        </w:tc>
        <w:tc>
          <w:tcPr>
            <w:tcW w:type="dxa" w:w="2600"/>
          </w:tcPr>
          <w:p>
            <w:r>
              <w:rPr>
                <w:b w:val="false"/>
                <w:bCs w:val="false"/>
                <w:sz w:val="20"/>
                <w:szCs w:val="20"/>
              </w:rPr>
              <w:t xml:space="preserve">WP#03 §8.3</w:t>
            </w:r>
          </w:p>
        </w:tc>
      </w:tr>
      <w:tr>
        <w:tc>
          <w:tcPr>
            <w:tcW w:type="dxa" w:w="2200"/>
          </w:tcPr>
          <w:p>
            <w:r>
              <w:rPr>
                <w:b w:val="false"/>
                <w:bCs w:val="false"/>
                <w:sz w:val="20"/>
                <w:szCs w:val="20"/>
              </w:rPr>
              <w:t xml:space="preserve">Advanced packaging</w:t>
            </w:r>
          </w:p>
        </w:tc>
        <w:tc>
          <w:tcPr>
            <w:tcW w:type="dxa" w:w="4560"/>
          </w:tcPr>
          <w:p>
            <w:r>
              <w:rPr>
                <w:b w:val="false"/>
                <w:bCs w:val="false"/>
                <w:sz w:val="20"/>
                <w:szCs w:val="20"/>
              </w:rPr>
              <w:t xml:space="preserve">CPO-class packaging (die-to-photonics co-packaging), not standard flip-chip/wire-bond only</w:t>
            </w:r>
          </w:p>
        </w:tc>
        <w:tc>
          <w:tcPr>
            <w:tcW w:type="dxa" w:w="2600"/>
          </w:tcPr>
          <w:p>
            <w:r>
              <w:rPr>
                <w:b w:val="false"/>
                <w:bCs w:val="false"/>
                <w:sz w:val="20"/>
                <w:szCs w:val="20"/>
              </w:rPr>
              <w:t xml:space="preserve">WP#34 §3</w:t>
            </w:r>
          </w:p>
        </w:tc>
      </w:tr>
      <w:tr>
        <w:tc>
          <w:tcPr>
            <w:tcW w:type="dxa" w:w="2200"/>
          </w:tcPr>
          <w:p>
            <w:r>
              <w:rPr>
                <w:b w:val="false"/>
                <w:bCs w:val="false"/>
                <w:sz w:val="20"/>
                <w:szCs w:val="20"/>
              </w:rPr>
              <w:t xml:space="preserve">MEMS alignment</w:t>
            </w:r>
          </w:p>
        </w:tc>
        <w:tc>
          <w:tcPr>
            <w:tcW w:type="dxa" w:w="4560"/>
          </w:tcPr>
          <w:p>
            <w:r>
              <w:rPr>
                <w:b w:val="false"/>
                <w:bCs w:val="false"/>
                <w:sz w:val="20"/>
                <w:szCs w:val="20"/>
              </w:rPr>
              <w:t xml:space="preserve">Lithographic-precision static MEMS alignment structures manufacturable at the same process node</w:t>
            </w:r>
          </w:p>
        </w:tc>
        <w:tc>
          <w:tcPr>
            <w:tcW w:type="dxa" w:w="2600"/>
          </w:tcPr>
          <w:p>
            <w:r>
              <w:rPr>
                <w:b w:val="false"/>
                <w:bCs w:val="false"/>
                <w:sz w:val="20"/>
                <w:szCs w:val="20"/>
              </w:rPr>
              <w:t xml:space="preserve">WP#03 §8.3; WP#34 §4</w:t>
            </w:r>
          </w:p>
        </w:tc>
      </w:tr>
      <w:tr>
        <w:tc>
          <w:tcPr>
            <w:tcW w:type="dxa" w:w="2200"/>
          </w:tcPr>
          <w:p>
            <w:r>
              <w:rPr>
                <w:b w:val="false"/>
                <w:bCs w:val="false"/>
                <w:sz w:val="20"/>
                <w:szCs w:val="20"/>
              </w:rPr>
              <w:t xml:space="preserve">ASIC pin compatibility</w:t>
            </w:r>
          </w:p>
        </w:tc>
        <w:tc>
          <w:tcPr>
            <w:tcW w:type="dxa" w:w="4560"/>
          </w:tcPr>
          <w:p>
            <w:r>
              <w:rPr>
                <w:b w:val="false"/>
                <w:bCs w:val="false"/>
                <w:sz w:val="20"/>
                <w:szCs w:val="20"/>
              </w:rPr>
              <w:t xml:space="preserve">Pinout must be a superset or functional subset of the VU19P reference pinout (Option A shared footprint)</w:t>
            </w:r>
          </w:p>
        </w:tc>
        <w:tc>
          <w:tcPr>
            <w:tcW w:type="dxa" w:w="2600"/>
          </w:tcPr>
          <w:p>
            <w:r>
              <w:rPr>
                <w:b w:val="false"/>
                <w:bCs w:val="false"/>
                <w:sz w:val="20"/>
                <w:szCs w:val="20"/>
              </w:rPr>
              <w:t xml:space="preserve">WP#32 §3.1.1</w:t>
            </w:r>
          </w:p>
        </w:tc>
      </w:tr>
    </w:tbl>
    <w:p>
      <w:pPr>
        <w:spacing w:after="200"/>
      </w:pPr>
      <w:r>
        <w:rPr>
          <w:i/>
          <w:iCs/>
          <w:sz w:val="20"/>
          <w:szCs w:val="20"/>
        </w:rPr>
        <w:t xml:space="preserve">Table 7-1b. Foundry Qualification Requirements — vendor-agnostic, confirmed per 창호</w:t>
      </w:r>
    </w:p>
    <w:p>
      <w:pPr>
        <w:spacing w:after="160"/>
      </w:pPr>
      <w:r>
        <w:rPr>
          <w:b w:val="false"/>
          <w:bCs w:val="false"/>
          <w:i w:val="false"/>
          <w:iCs w:val="false"/>
          <w:sz w:val="22"/>
          <w:szCs w:val="22"/>
        </w:rPr>
        <w:t xml:space="preserve">Three independent candidate-screening reports exist (Velsanet_ARM_Samsung_Platform_Mapping_Report, Velsanet_Intel_Broadcom_Platform_Mapping_Report, Velsanet_NVIDIA_TSMC_Platform_Mapping_Report, all v1.0, March 2026) — each self-labeled "Independent Technical Analysis," meaning they are Velsanet-authored public-information mappings, not vendor-committed PDK or pinout data. They are logged here as screening references against the table above, not as a shortlist narrowing OI-30-17 to three options. Any of the three, a combination, or an unlisted fourth vendor qualifies equally if it satisfies Table 7-1b — the requirement, not the vendor name, is what this document fixes.</w:t>
      </w:r>
    </w:p>
    <w:p>
      <w:pPr>
        <w:pStyle w:val="Heading2"/>
        <w:spacing w:after="160" w:before="280"/>
      </w:pPr>
      <w:r>
        <w:rPr>
          <w:b/>
          <w:bCs/>
        </w:rPr>
        <w:t xml:space="preserve">7.2.2 Candidate Screening Reference (Non-Binding)</w:t>
      </w:r>
    </w:p>
    <w:p>
      <w:pPr>
        <w:spacing w:after="160"/>
      </w:pPr>
      <w:r>
        <w:rPr>
          <w:b w:val="false"/>
          <w:bCs w:val="false"/>
          <w:i w:val="false"/>
          <w:iCs w:val="false"/>
          <w:sz w:val="22"/>
          <w:szCs w:val="22"/>
        </w:rPr>
        <w:t xml:space="preserve">The three independent screening reports do include vendor-specific detail relevant to Table 7-1b, not just the one-line summary already logged in §7.2.1. Restated here for reference — this table describes what each report claims about its own vendor pairing; it is not independently verified against actual vendor engagement, and listing it here does not narrow OI-30-17 to these three.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60"/>
            <w:shd w:fill="D9D9D9" w:val="clear"/>
          </w:tcPr>
          <w:p>
            <w:r>
              <w:rPr>
                <w:b/>
                <w:bCs/>
                <w:sz w:val="18"/>
                <w:szCs w:val="18"/>
              </w:rPr>
              <w:t xml:space="preserve">Dimension (Table 7-1b)</w:t>
            </w:r>
          </w:p>
        </w:tc>
        <w:tc>
          <w:tcPr>
            <w:tcW w:type="dxa" w:w="2200"/>
            <w:shd w:fill="D9D9D9" w:val="clear"/>
          </w:tcPr>
          <w:p>
            <w:r>
              <w:rPr>
                <w:b/>
                <w:bCs/>
                <w:sz w:val="18"/>
                <w:szCs w:val="18"/>
              </w:rPr>
              <w:t xml:space="preserve">ARM + Samsung</w:t>
            </w:r>
          </w:p>
        </w:tc>
        <w:tc>
          <w:tcPr>
            <w:tcW w:type="dxa" w:w="2200"/>
            <w:shd w:fill="D9D9D9" w:val="clear"/>
          </w:tcPr>
          <w:p>
            <w:r>
              <w:rPr>
                <w:b/>
                <w:bCs/>
                <w:sz w:val="18"/>
                <w:szCs w:val="18"/>
              </w:rPr>
              <w:t xml:space="preserve">Intel + Broadcom</w:t>
            </w:r>
          </w:p>
        </w:tc>
        <w:tc>
          <w:tcPr>
            <w:tcW w:type="dxa" w:w="2200"/>
            <w:shd w:fill="D9D9D9" w:val="clear"/>
          </w:tcPr>
          <w:p>
            <w:r>
              <w:rPr>
                <w:b/>
                <w:bCs/>
                <w:sz w:val="18"/>
                <w:szCs w:val="18"/>
              </w:rPr>
              <w:t xml:space="preserve">NVIDIA + TSMC</w:t>
            </w:r>
          </w:p>
        </w:tc>
      </w:tr>
      <w:tr>
        <w:tc>
          <w:tcPr>
            <w:tcW w:type="dxa" w:w="1760"/>
          </w:tcPr>
          <w:p>
            <w:r>
              <w:rPr>
                <w:b w:val="false"/>
                <w:bCs w:val="false"/>
                <w:sz w:val="18"/>
                <w:szCs w:val="18"/>
              </w:rPr>
              <w:t xml:space="preserve">Process node cited</w:t>
            </w:r>
          </w:p>
        </w:tc>
        <w:tc>
          <w:tcPr>
            <w:tcW w:type="dxa" w:w="2200"/>
          </w:tcPr>
          <w:p>
            <w:r>
              <w:rPr>
                <w:b w:val="false"/>
                <w:bCs w:val="false"/>
                <w:sz w:val="18"/>
                <w:szCs w:val="18"/>
              </w:rPr>
              <w:t xml:space="preserve">Samsung SF3/SF4 (3nm/4nm GAA/FinFET)</w:t>
            </w:r>
          </w:p>
        </w:tc>
        <w:tc>
          <w:tcPr>
            <w:tcW w:type="dxa" w:w="2200"/>
          </w:tcPr>
          <w:p>
            <w:r>
              <w:rPr>
                <w:b w:val="false"/>
                <w:bCs w:val="false"/>
                <w:sz w:val="18"/>
                <w:szCs w:val="18"/>
              </w:rPr>
              <w:t xml:space="preserve">Intel 18A (1.8nm-class RibbonFET GAA)</w:t>
            </w:r>
          </w:p>
        </w:tc>
        <w:tc>
          <w:tcPr>
            <w:tcW w:type="dxa" w:w="2200"/>
          </w:tcPr>
          <w:p>
            <w:r>
              <w:rPr>
                <w:b w:val="false"/>
                <w:bCs w:val="false"/>
                <w:sz w:val="18"/>
                <w:szCs w:val="18"/>
              </w:rPr>
              <w:t xml:space="preserve">TSMC N3P (3nm)</w:t>
            </w:r>
          </w:p>
        </w:tc>
      </w:tr>
      <w:tr>
        <w:tc>
          <w:tcPr>
            <w:tcW w:type="dxa" w:w="1760"/>
          </w:tcPr>
          <w:p>
            <w:r>
              <w:rPr>
                <w:b w:val="false"/>
                <w:bCs w:val="false"/>
                <w:sz w:val="18"/>
                <w:szCs w:val="18"/>
              </w:rPr>
              <w:t xml:space="preserve">Silicon photonics PDK</w:t>
            </w:r>
          </w:p>
        </w:tc>
        <w:tc>
          <w:tcPr>
            <w:tcW w:type="dxa" w:w="2200"/>
          </w:tcPr>
          <w:p>
            <w:r>
              <w:rPr>
                <w:b w:val="false"/>
                <w:bCs w:val="false"/>
                <w:sz w:val="18"/>
                <w:szCs w:val="18"/>
              </w:rPr>
              <w:t xml:space="preserve">Samsung SiPho PDK — integrated waveguide structures</w:t>
            </w:r>
          </w:p>
        </w:tc>
        <w:tc>
          <w:tcPr>
            <w:tcW w:type="dxa" w:w="2200"/>
          </w:tcPr>
          <w:p>
            <w:r>
              <w:rPr>
                <w:b w:val="false"/>
                <w:bCs w:val="false"/>
                <w:sz w:val="18"/>
                <w:szCs w:val="18"/>
              </w:rPr>
              <w:t xml:space="preserve">Intel SiPho PDK — waveguides, ring modulators, Ge photodetectors, grating couplers, co-fabricated with CMOS</w:t>
            </w:r>
          </w:p>
        </w:tc>
        <w:tc>
          <w:tcPr>
            <w:tcW w:type="dxa" w:w="2200"/>
          </w:tcPr>
          <w:p>
            <w:r>
              <w:rPr>
                <w:b w:val="false"/>
                <w:bCs w:val="false"/>
                <w:sz w:val="18"/>
                <w:szCs w:val="18"/>
              </w:rPr>
              <w:t xml:space="preserve">TSMC SiPho PDK — waveguides, modulators, photodetectors, grating couplers on CMOS substrate</w:t>
            </w:r>
          </w:p>
        </w:tc>
      </w:tr>
      <w:tr>
        <w:tc>
          <w:tcPr>
            <w:tcW w:type="dxa" w:w="1760"/>
          </w:tcPr>
          <w:p>
            <w:r>
              <w:rPr>
                <w:b w:val="false"/>
                <w:bCs w:val="false"/>
                <w:sz w:val="18"/>
                <w:szCs w:val="18"/>
              </w:rPr>
              <w:t xml:space="preserve">MEMS-relevant process control</w:t>
            </w:r>
          </w:p>
        </w:tc>
        <w:tc>
          <w:tcPr>
            <w:tcW w:type="dxa" w:w="2200"/>
          </w:tcPr>
          <w:p>
            <w:r>
              <w:rPr>
                <w:b w:val="false"/>
                <w:bCs w:val="false"/>
                <w:sz w:val="18"/>
                <w:szCs w:val="18"/>
              </w:rPr>
              <w:t xml:space="preserve">SF4 GAA dimensional control cited for MEMS alignment structures; report claims dedicated MEMS foundry capability</w:t>
            </w:r>
          </w:p>
        </w:tc>
        <w:tc>
          <w:tcPr>
            <w:tcW w:type="dxa" w:w="2200"/>
          </w:tcPr>
          <w:p>
            <w:r>
              <w:rPr>
                <w:b w:val="false"/>
                <w:bCs w:val="false"/>
                <w:sz w:val="18"/>
                <w:szCs w:val="18"/>
              </w:rPr>
              <w:t xml:space="preserve">18A's dimensional control cited generally; report does not detail a separate MEMS-specific process line</w:t>
            </w:r>
          </w:p>
        </w:tc>
        <w:tc>
          <w:tcPr>
            <w:tcW w:type="dxa" w:w="2200"/>
          </w:tcPr>
          <w:p>
            <w:r>
              <w:rPr>
                <w:b w:val="false"/>
                <w:bCs w:val="false"/>
                <w:sz w:val="18"/>
                <w:szCs w:val="18"/>
              </w:rPr>
              <w:t xml:space="preserve">Report does not detail MEMS-specific process control beyond general N3P precision</w:t>
            </w:r>
          </w:p>
        </w:tc>
      </w:tr>
      <w:tr>
        <w:tc>
          <w:tcPr>
            <w:tcW w:type="dxa" w:w="1760"/>
          </w:tcPr>
          <w:p>
            <w:r>
              <w:rPr>
                <w:b w:val="false"/>
                <w:bCs w:val="false"/>
                <w:sz w:val="18"/>
                <w:szCs w:val="18"/>
              </w:rPr>
              <w:t xml:space="preserve">Advanced/CPO-class packaging</w:t>
            </w:r>
          </w:p>
        </w:tc>
        <w:tc>
          <w:tcPr>
            <w:tcW w:type="dxa" w:w="2200"/>
          </w:tcPr>
          <w:p>
            <w:r>
              <w:rPr>
                <w:b w:val="false"/>
                <w:bCs w:val="false"/>
                <w:sz w:val="18"/>
                <w:szCs w:val="18"/>
              </w:rPr>
              <w:t xml:space="preserve">H-Cube / X-Cube heterogeneous integration — multi-die stacking of photonic + electronic layers</w:t>
            </w:r>
          </w:p>
        </w:tc>
        <w:tc>
          <w:tcPr>
            <w:tcW w:type="dxa" w:w="2200"/>
          </w:tcPr>
          <w:p>
            <w:r>
              <w:rPr>
                <w:b w:val="false"/>
                <w:bCs w:val="false"/>
                <w:sz w:val="18"/>
                <w:szCs w:val="18"/>
              </w:rPr>
              <w:t xml:space="preserve">Intel CPO program (cited production experience) + EMIB 2.5D die-to-die interconnect</w:t>
            </w:r>
          </w:p>
        </w:tc>
        <w:tc>
          <w:tcPr>
            <w:tcW w:type="dxa" w:w="2200"/>
          </w:tcPr>
          <w:p>
            <w:r>
              <w:rPr>
                <w:b w:val="false"/>
                <w:bCs w:val="false"/>
                <w:sz w:val="18"/>
                <w:szCs w:val="18"/>
              </w:rPr>
              <w:t xml:space="preserve">CoWoS-L (2.5D, compute+HBM co-integration) + InFO (thin fan-out multi-layer)</w:t>
            </w:r>
          </w:p>
        </w:tc>
      </w:tr>
      <w:tr>
        <w:tc>
          <w:tcPr>
            <w:tcW w:type="dxa" w:w="1760"/>
          </w:tcPr>
          <w:p>
            <w:r>
              <w:rPr>
                <w:b w:val="false"/>
                <w:bCs w:val="false"/>
                <w:sz w:val="18"/>
                <w:szCs w:val="18"/>
              </w:rPr>
              <w:t xml:space="preserve">Production maturity claim</w:t>
            </w:r>
          </w:p>
        </w:tc>
        <w:tc>
          <w:tcPr>
            <w:tcW w:type="dxa" w:w="2200"/>
          </w:tcPr>
          <w:p>
            <w:r>
              <w:rPr>
                <w:b w:val="false"/>
                <w:bCs w:val="false"/>
                <w:sz w:val="18"/>
                <w:szCs w:val="18"/>
              </w:rPr>
              <w:t xml:space="preserve">Not separately claimed beyond process node availability</w:t>
            </w:r>
          </w:p>
        </w:tc>
        <w:tc>
          <w:tcPr>
            <w:tcW w:type="dxa" w:w="2200"/>
          </w:tcPr>
          <w:p>
            <w:r>
              <w:rPr>
                <w:b w:val="false"/>
                <w:bCs w:val="false"/>
                <w:sz w:val="18"/>
                <w:szCs w:val="18"/>
              </w:rPr>
              <w:t xml:space="preserve">Photonics heritage since mid-2000s; report claims currently-shipping 400G/800G CPO modules</w:t>
            </w:r>
          </w:p>
        </w:tc>
        <w:tc>
          <w:tcPr>
            <w:tcW w:type="dxa" w:w="2200"/>
          </w:tcPr>
          <w:p>
            <w:r>
              <w:rPr>
                <w:b w:val="false"/>
                <w:bCs w:val="false"/>
                <w:sz w:val="18"/>
                <w:szCs w:val="18"/>
              </w:rPr>
              <w:t xml:space="preserve">Report claims SiPho "production-proven at scale," cites hyperscaler PIC use</w:t>
            </w:r>
          </w:p>
        </w:tc>
      </w:tr>
    </w:tbl>
    <w:p>
      <w:pPr>
        <w:spacing w:after="200"/>
      </w:pPr>
      <w:r>
        <w:rPr>
          <w:i/>
          <w:iCs/>
          <w:sz w:val="20"/>
          <w:szCs w:val="20"/>
        </w:rPr>
        <w:t xml:space="preserve">Table 7-1c. Candidate Screening Reference — restated from the three v1.0 (March 2026) "Independent Technical Analysis" reports, self-reported by each report, not vendor-verified</w:t>
      </w:r>
    </w:p>
    <w:p>
      <w:pPr>
        <w:spacing w:after="160"/>
      </w:pPr>
      <w:r>
        <w:rPr>
          <w:b w:val="false"/>
          <w:bCs w:val="false"/>
          <w:i w:val="false"/>
          <w:iCs w:val="false"/>
          <w:sz w:val="22"/>
          <w:szCs w:val="22"/>
        </w:rPr>
        <w:t xml:space="preserve">This table is descriptive, not evaluative: it restates what each report says about itself, not a scored comparison. None of the three fields (process node, PDK, packaging) is independently confirmed against the actual vendor's public or NDA documentation by this document series — that confirmation is exactly what OI-30-17 still requires before any vendor is engaged.</w:t>
      </w:r>
    </w:p>
    <w:p>
      <w:pPr>
        <w:pStyle w:val="Heading2"/>
        <w:spacing w:after="160" w:before="280"/>
      </w:pPr>
      <w:r>
        <w:rPr>
          <w:b/>
          <w:bCs/>
        </w:rPr>
        <w:t xml:space="preserve">7.3 Die-Level Floorplan and Implementation Style</w:t>
      </w:r>
    </w:p>
    <w:p>
      <w:pPr>
        <w:spacing w:after="160"/>
      </w:pPr>
      <w:r>
        <w:rPr>
          <w:b w:val="false"/>
          <w:bCs w:val="false"/>
          <w:i w:val="false"/>
          <w:iCs w:val="false"/>
          <w:sz w:val="22"/>
          <w:szCs w:val="22"/>
        </w:rPr>
        <w:t xml:space="preserve">Per WP#26 §8.2 precedent (Implementation Style Decision — full-custom / standard-cell / structured ASIC, mapped by block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Block</w:t>
            </w:r>
          </w:p>
        </w:tc>
        <w:tc>
          <w:tcPr>
            <w:tcW w:type="dxa" w:w="2600"/>
            <w:shd w:fill="D9D9D9" w:val="clear"/>
          </w:tcPr>
          <w:p>
            <w:r>
              <w:rPr>
                <w:b/>
                <w:bCs/>
                <w:sz w:val="20"/>
                <w:szCs w:val="20"/>
              </w:rPr>
              <w:t xml:space="preserve">Candidate Style</w:t>
            </w:r>
          </w:p>
        </w:tc>
        <w:tc>
          <w:tcPr>
            <w:tcW w:type="dxa" w:w="4160"/>
            <w:shd w:fill="D9D9D9" w:val="clear"/>
          </w:tcPr>
          <w:p>
            <w:r>
              <w:rPr>
                <w:b/>
                <w:bCs/>
                <w:sz w:val="20"/>
                <w:szCs w:val="20"/>
              </w:rPr>
              <w:t xml:space="preserve">Rationale (draft, follows WP#26 §8.2 pattern)</w:t>
            </w:r>
          </w:p>
        </w:tc>
      </w:tr>
      <w:tr>
        <w:tc>
          <w:tcPr>
            <w:tcW w:type="dxa" w:w="2600"/>
          </w:tcPr>
          <w:p>
            <w:r>
              <w:rPr>
                <w:b w:val="false"/>
                <w:bCs w:val="false"/>
                <w:sz w:val="20"/>
                <w:szCs w:val="20"/>
              </w:rPr>
              <w:t xml:space="preserve">Switch fabric core (crossbar)</w:t>
            </w:r>
          </w:p>
        </w:tc>
        <w:tc>
          <w:tcPr>
            <w:tcW w:type="dxa" w:w="2600"/>
          </w:tcPr>
          <w:p>
            <w:r>
              <w:rPr>
                <w:b w:val="false"/>
                <w:bCs w:val="false"/>
                <w:sz w:val="20"/>
                <w:szCs w:val="20"/>
              </w:rPr>
              <w:t xml:space="preserve">Full-custom or highly-structured — TBD pending OI-30-17</w:t>
            </w:r>
          </w:p>
        </w:tc>
        <w:tc>
          <w:tcPr>
            <w:tcW w:type="dxa" w:w="4160"/>
          </w:tcPr>
          <w:p>
            <w:r>
              <w:rPr>
                <w:b w:val="false"/>
                <w:bCs w:val="false"/>
                <w:sz w:val="20"/>
                <w:szCs w:val="20"/>
              </w:rPr>
              <w:t xml:space="preserve">High port-count switching favors density/timing-optimized custom layout, similar to WP#26's treatment of safety/WORM-adjacent logic, but for different reasons (throughput, not isolation)</w:t>
            </w:r>
          </w:p>
        </w:tc>
      </w:tr>
      <w:tr>
        <w:tc>
          <w:tcPr>
            <w:tcW w:type="dxa" w:w="2600"/>
          </w:tcPr>
          <w:p>
            <w:r>
              <w:rPr>
                <w:b w:val="false"/>
                <w:bCs w:val="false"/>
                <w:sz w:val="20"/>
                <w:szCs w:val="20"/>
              </w:rPr>
              <w:t xml:space="preserve">Control-word decoder / rule evaluator (§3.1, §3.2)</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State-machine/control-dominated logic — matches WP#26's SEU1 Assembly Engine treatment</w:t>
            </w:r>
          </w:p>
        </w:tc>
      </w:tr>
      <w:tr>
        <w:tc>
          <w:tcPr>
            <w:tcW w:type="dxa" w:w="2600"/>
          </w:tcPr>
          <w:p>
            <w:r>
              <w:rPr>
                <w:b w:val="false"/>
                <w:bCs w:val="false"/>
                <w:sz w:val="20"/>
                <w:szCs w:val="20"/>
              </w:rPr>
              <w:t xml:space="preserve">MONITOR_CH registers (§3.1.3)</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Register-file logic, same category as WP#26's synthesized blocks</w:t>
            </w:r>
          </w:p>
        </w:tc>
      </w:tr>
    </w:tbl>
    <w:p>
      <w:pPr>
        <w:spacing w:after="200"/>
      </w:pPr>
      <w:r>
        <w:rPr>
          <w:i/>
          <w:iCs/>
          <w:sz w:val="20"/>
          <w:szCs w:val="20"/>
        </w:rPr>
        <w:t xml:space="preserve">Table 7-1. Candidate Implementation Style by Block — draft, follows WP#26 §8.2 pattern</w:t>
      </w:r>
    </w:p>
    <w:p>
      <w:pPr>
        <w:spacing w:after="200"/>
      </w:pPr>
      <w:r>
        <w:rPr>
          <w:b/>
          <w:bCs/>
          <w:i/>
          <w:iCs/>
          <w:sz w:val="22"/>
          <w:szCs w:val="22"/>
        </w:rPr>
        <w:t xml:space="preserve">Open — OI-30-06: </w:t>
      </w:r>
      <w:r>
        <w:rPr>
          <w:i/>
          <w:iCs/>
          <w:sz w:val="22"/>
          <w:szCs w:val="22"/>
        </w:rPr>
        <w:t xml:space="preserve">(Retained) Die-level floorplan (physical block placement, not just implementation style) is not yet drafted — depends on OI-30-17's process-node decision and the RTL module breakdown still open under OI-30-04.</w:t>
      </w:r>
    </w:p>
    <w:p>
      <w:pPr>
        <w:pStyle w:val="Heading2"/>
        <w:spacing w:after="160" w:before="280"/>
      </w:pPr>
      <w:r>
        <w:rPr>
          <w:b/>
          <w:bCs/>
        </w:rPr>
        <w:t xml:space="preserve">7.4 Power / Thermal Budget</w:t>
      </w:r>
    </w:p>
    <w:p>
      <w:pPr>
        <w:spacing w:after="160"/>
      </w:pPr>
      <w:r>
        <w:rPr>
          <w:b w:val="false"/>
          <w:bCs w:val="false"/>
          <w:i w:val="false"/>
          <w:iCs w:val="false"/>
          <w:sz w:val="22"/>
          <w:szCs w:val="22"/>
        </w:rPr>
        <w:t xml:space="preserve">Per WP#26 §4.5/§5.5 precedent, SEU1/SEU2's die-level power is stated as bounded primarily by SerDes/PHY interface count rather than control logic — but this rationale does not transfer directly to the Matrix switch fabric, whose SerDes count (1,536+ cores) is far larger than a single SEU1/SEU2 engine instance's, and whose switching logic itself (not just PHY) may be a significant power contributor at this port count.</w:t>
      </w:r>
    </w:p>
    <w:p>
      <w:pPr>
        <w:spacing w:after="200"/>
      </w:pPr>
      <w:r>
        <w:rPr>
          <w:b/>
          <w:bCs/>
          <w:i/>
          <w:iCs/>
          <w:sz w:val="22"/>
          <w:szCs w:val="22"/>
        </w:rPr>
        <w:t xml:space="preserve">Open — OI-30-06: </w:t>
      </w:r>
      <w:r>
        <w:rPr>
          <w:i/>
          <w:iCs/>
          <w:sz w:val="22"/>
          <w:szCs w:val="22"/>
        </w:rPr>
        <w:t xml:space="preserve">(Restated, power aspect) Die-level power/thermal budget for the Matrix switch fabric is not estimated — WP#26's "PHY-dominated" conclusion for SEU1 is not assumed to transfer given the much larger port count; a separate estimate is needed once OI-30-17 (process node) and the RTL module breakdown (OI-30-04) are further along.</w:t>
      </w:r>
    </w:p>
    <w:p>
      <w:pPr>
        <w:pStyle w:val="Heading2"/>
        <w:spacing w:after="160" w:before="280"/>
      </w:pPr>
      <w:r>
        <w:rPr>
          <w:b/>
          <w:bCs/>
        </w:rPr>
        <w:t xml:space="preserve">7.5 FPGA→ASIC Migration Path</w:t>
      </w:r>
    </w:p>
    <w:p>
      <w:pPr>
        <w:spacing w:after="160"/>
      </w:pPr>
      <w:r>
        <w:rPr>
          <w:b w:val="false"/>
          <w:bCs w:val="false"/>
          <w:i w:val="false"/>
          <w:iCs w:val="false"/>
          <w:sz w:val="22"/>
          <w:szCs w:val="22"/>
        </w:rPr>
        <w:t xml:space="preserve">Per WP#26 §8.3 precedent, the same staged, tool-agnostic flow is inherited: RTL functional simulation → FPGA bring-up and in-system validation → timing closure against budgets (Section 8 of this document) → physical verification and isolation checks specific to the Matrix's own boundaries (e.g. MONITOR_CH's clock-domain question, OI-30-12) → tape-out sign-off. As in WP#26, specific EDA tooling is left to the implementing team as an execution-time decision outside the architecture record.</w:t>
      </w:r>
    </w:p>
    <w:p>
      <w:pPr>
        <w:pStyle w:val="Heading1"/>
        <w:spacing w:after="160" w:before="280"/>
      </w:pPr>
      <w:r>
        <w:rPr>
          <w:b/>
          <w:bCs/>
        </w:rPr>
        <w:t xml:space="preserve">8. Timing Analysis</w:t>
      </w:r>
    </w:p>
    <w:p>
      <w:pPr>
        <w:spacing w:after="160"/>
      </w:pPr>
      <w:r>
        <w:rPr>
          <w:b w:val="false"/>
          <w:bCs w:val="false"/>
          <w:i w:val="false"/>
          <w:iCs w:val="false"/>
          <w:sz w:val="22"/>
          <w:szCs w:val="22"/>
        </w:rPr>
        <w:t xml:space="preserve">Scope: timing closure for the Matrix RTL (Section 3) and its physical implementation (Section 7), following the timing-analysis pattern WP#26 already established for the SEU1/SEU2 RTL engines.</w:t>
      </w:r>
    </w:p>
    <w:p>
      <w:pPr>
        <w:pStyle w:val="Heading2"/>
        <w:spacing w:after="160" w:before="280"/>
      </w:pPr>
      <w:r>
        <w:rPr>
          <w:b/>
          <w:bCs/>
        </w:rPr>
        <w:t xml:space="preserve">8.1 Target Clock Frequency</w:t>
      </w:r>
    </w:p>
    <w:p>
      <w:pPr>
        <w:spacing w:after="200"/>
      </w:pPr>
      <w:r>
        <w:rPr>
          <w:b/>
          <w:bCs/>
          <w:i/>
          <w:iCs/>
          <w:sz w:val="22"/>
          <w:szCs w:val="22"/>
        </w:rPr>
        <w:t xml:space="preserve">Open — OI-30-07: </w:t>
      </w:r>
      <w:r>
        <w:rPr>
          <w:i/>
          <w:iCs/>
          <w:sz w:val="22"/>
          <w:szCs w:val="22"/>
        </w:rPr>
        <w:t xml:space="preserve">(Retained) Target clock frequency and timing-closure budgets for the Matrix switch fabric are not yet fixed — depends on the RTL module breakdown (OI-30-04) and process-node decision (OI-30-17).</w:t>
      </w:r>
    </w:p>
    <w:p>
      <w:pPr>
        <w:pStyle w:val="Heading2"/>
        <w:spacing w:after="160" w:before="280"/>
      </w:pPr>
      <w:r>
        <w:rPr>
          <w:b/>
          <w:bCs/>
        </w:rPr>
        <w:t xml:space="preserve">8.2 Input Stage Latency</w:t>
      </w:r>
    </w:p>
    <w:p>
      <w:pPr>
        <w:spacing w:after="160"/>
      </w:pPr>
      <w:r>
        <w:rPr>
          <w:b w:val="false"/>
          <w:bCs w:val="false"/>
          <w:i w:val="false"/>
          <w:iCs w:val="false"/>
          <w:sz w:val="22"/>
          <w:szCs w:val="22"/>
        </w:rPr>
        <w:t xml:space="preserve">Confirmed, reusing WP#24 §3.1: DEMUX_LATENCY_MON's target is &lt;2ns (WP#24 Table 3-1 / this document's Table 4-3, §4.5). This applies to the DEMUX Engine's own processing latency at the node's input stage, ahead of the Matrix switch fabric proper.</w:t>
      </w:r>
    </w:p>
    <w:p>
      <w:pPr>
        <w:pStyle w:val="Heading2"/>
        <w:spacing w:after="160" w:before="280"/>
      </w:pPr>
      <w:r>
        <w:rPr>
          <w:b/>
          <w:bCs/>
        </w:rPr>
        <w:t xml:space="preserve">8.3 Matrix Switching Latency</w:t>
      </w:r>
    </w:p>
    <w:p>
      <w:pPr>
        <w:spacing w:after="200"/>
      </w:pPr>
      <w:r>
        <w:rPr>
          <w:b/>
          <w:bCs/>
          <w:i/>
          <w:iCs/>
          <w:sz w:val="22"/>
          <w:szCs w:val="22"/>
        </w:rPr>
        <w:t xml:space="preserve">Open — OI-30-16: </w:t>
      </w:r>
      <w:r>
        <w:rPr>
          <w:i/>
          <w:iCs/>
          <w:sz w:val="22"/>
          <w:szCs w:val="22"/>
        </w:rPr>
        <w:t xml:space="preserve">(Retained) Matrix switching latency — from MONITOR_CH event detection to executed switching action — is not specified. Distinct from §8.2's input-stage latency and from §8.4's PTP accuracy budget.</w:t>
      </w:r>
    </w:p>
    <w:p>
      <w:pPr>
        <w:pStyle w:val="Heading2"/>
        <w:spacing w:after="160" w:before="280"/>
      </w:pPr>
      <w:r>
        <w:rPr>
          <w:b/>
          <w:bCs/>
        </w:rPr>
        <w:t xml:space="preserve">8.4 PTP Synchronization vs. Matrix Switching Latency</w:t>
      </w:r>
    </w:p>
    <w:p>
      <w:pPr>
        <w:spacing w:after="160"/>
      </w:pPr>
      <w:r>
        <w:rPr>
          <w:b w:val="false"/>
          <w:bCs w:val="false"/>
          <w:i w:val="false"/>
          <w:iCs w:val="false"/>
          <w:sz w:val="22"/>
          <w:szCs w:val="22"/>
        </w:rPr>
        <w:t xml:space="preserve">The PTP synchronization accuracy budget is specified in WP#25 Table A-5 as &lt;100ns. This budget governs time synchronization between SEU1/SEU2 domains — it does not govern the Matrix switch fabric's internal switching latency.</w:t>
      </w:r>
    </w:p>
    <w:p>
      <w:pPr>
        <w:spacing w:after="160"/>
      </w:pPr>
      <w:r>
        <w:rPr>
          <w:b w:val="false"/>
          <w:bCs w:val="false"/>
          <w:i w:val="false"/>
          <w:iCs w:val="false"/>
          <w:sz w:val="22"/>
          <w:szCs w:val="22"/>
        </w:rPr>
        <w:t xml:space="preserve">The Matrix switching latency (§8.3, OI-30-16) is a separate budget and is not to be conflated with the PTP accuracy budget. This section explicitly maintains the distinction established at §6.4: WP#25 Table A-5's &lt;100ns figure is a PTP synchronization accuracy budget, not a command-execution or switching-latency budget.</w:t>
      </w:r>
    </w:p>
    <w:p>
      <w:pPr>
        <w:pStyle w:val="Heading1"/>
        <w:spacing w:after="160" w:before="280"/>
      </w:pPr>
      <w:r>
        <w:rPr>
          <w:b/>
          <w:bCs/>
        </w:rPr>
        <w:t xml:space="preserve">9. Hardware Validation Strategy</w:t>
      </w:r>
    </w:p>
    <w:p>
      <w:pPr>
        <w:spacing w:after="160"/>
      </w:pPr>
      <w:r>
        <w:rPr>
          <w:b w:val="false"/>
          <w:bCs w:val="false"/>
          <w:i w:val="false"/>
          <w:iCs w:val="false"/>
          <w:sz w:val="22"/>
          <w:szCs w:val="22"/>
        </w:rPr>
        <w:t xml:space="preserve">Scope: validation layers and pass criteria for the Matrix RTL and physical implementation, following the pattern of WP#26 Table 9-1 (staged verification/validation plan) and WP#28's field validation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Stage</w:t>
            </w:r>
          </w:p>
        </w:tc>
        <w:tc>
          <w:tcPr>
            <w:tcW w:type="dxa" w:w="4160"/>
            <w:shd w:fill="D9D9D9" w:val="clear"/>
          </w:tcPr>
          <w:p>
            <w:r>
              <w:rPr>
                <w:b/>
                <w:bCs/>
                <w:sz w:val="20"/>
                <w:szCs w:val="20"/>
              </w:rPr>
              <w:t xml:space="preserve">Scope</w:t>
            </w:r>
          </w:p>
        </w:tc>
        <w:tc>
          <w:tcPr>
            <w:tcW w:type="dxa" w:w="3000"/>
            <w:shd w:fill="D9D9D9" w:val="clear"/>
          </w:tcPr>
          <w:p>
            <w:r>
              <w:rPr>
                <w:b/>
                <w:bCs/>
                <w:sz w:val="20"/>
                <w:szCs w:val="20"/>
              </w:rPr>
              <w:t xml:space="preserve">Basis</w:t>
            </w:r>
          </w:p>
        </w:tc>
      </w:tr>
      <w:tr>
        <w:tc>
          <w:tcPr>
            <w:tcW w:type="dxa" w:w="2200"/>
          </w:tcPr>
          <w:p>
            <w:r>
              <w:rPr>
                <w:b w:val="false"/>
                <w:bCs w:val="false"/>
                <w:sz w:val="20"/>
                <w:szCs w:val="20"/>
              </w:rPr>
              <w:t xml:space="preserve">9.1 RTL Simulation</w:t>
            </w:r>
          </w:p>
        </w:tc>
        <w:tc>
          <w:tcPr>
            <w:tcW w:type="dxa" w:w="4160"/>
          </w:tcPr>
          <w:p>
            <w:r>
              <w:rPr>
                <w:b w:val="false"/>
                <w:bCs w:val="false"/>
                <w:sz w:val="20"/>
                <w:szCs w:val="20"/>
              </w:rPr>
              <w:t xml:space="preserve">Functional verification of all Matrix RTL modules (switch fabric, MONITOR_CH, control-word decoder, rule evaluator)</w:t>
            </w:r>
          </w:p>
        </w:tc>
        <w:tc>
          <w:tcPr>
            <w:tcW w:type="dxa" w:w="3000"/>
          </w:tcPr>
          <w:p>
            <w:r>
              <w:rPr>
                <w:b w:val="false"/>
                <w:bCs w:val="false"/>
                <w:sz w:val="20"/>
                <w:szCs w:val="20"/>
              </w:rPr>
              <w:t xml:space="preserve">Follows WP#26 Table 9-1's RTL-simulation stage</w:t>
            </w:r>
          </w:p>
        </w:tc>
      </w:tr>
      <w:tr>
        <w:tc>
          <w:tcPr>
            <w:tcW w:type="dxa" w:w="2200"/>
          </w:tcPr>
          <w:p>
            <w:r>
              <w:rPr>
                <w:b w:val="false"/>
                <w:bCs w:val="false"/>
                <w:sz w:val="20"/>
                <w:szCs w:val="20"/>
              </w:rPr>
              <w:t xml:space="preserve">9.2 FPGA Bring-up</w:t>
            </w:r>
          </w:p>
        </w:tc>
        <w:tc>
          <w:tcPr>
            <w:tcW w:type="dxa" w:w="4160"/>
          </w:tcPr>
          <w:p>
            <w:r>
              <w:rPr>
                <w:b w:val="false"/>
                <w:bCs w:val="false"/>
                <w:sz w:val="20"/>
                <w:szCs w:val="20"/>
              </w:rPr>
              <w:t xml:space="preserve">In-system validation of 800G interface + Matrix switching on the Xilinx UltraScale+ target (§7.1)</w:t>
            </w:r>
          </w:p>
        </w:tc>
        <w:tc>
          <w:tcPr>
            <w:tcW w:type="dxa" w:w="3000"/>
          </w:tcPr>
          <w:p>
            <w:r>
              <w:rPr>
                <w:b w:val="false"/>
                <w:bCs w:val="false"/>
                <w:sz w:val="20"/>
                <w:szCs w:val="20"/>
              </w:rPr>
              <w:t xml:space="preserve">Follows WP#26 Table 9-1's FPGA bring-up stage and this document's §7.1</w:t>
            </w:r>
          </w:p>
        </w:tc>
      </w:tr>
      <w:tr>
        <w:tc>
          <w:tcPr>
            <w:tcW w:type="dxa" w:w="2200"/>
          </w:tcPr>
          <w:p>
            <w:r>
              <w:rPr>
                <w:b w:val="false"/>
                <w:bCs w:val="false"/>
                <w:sz w:val="20"/>
                <w:szCs w:val="20"/>
              </w:rPr>
              <w:t xml:space="preserve">9.3 ASIC Post-Silicon</w:t>
            </w:r>
          </w:p>
        </w:tc>
        <w:tc>
          <w:tcPr>
            <w:tcW w:type="dxa" w:w="4160"/>
          </w:tcPr>
          <w:p>
            <w:r>
              <w:rPr>
                <w:b w:val="false"/>
                <w:bCs w:val="false"/>
                <w:sz w:val="20"/>
                <w:szCs w:val="20"/>
              </w:rPr>
              <w:t xml:space="preserve">Timing, power, and signal-integrity validation on fabricated silicon</w:t>
            </w:r>
          </w:p>
        </w:tc>
        <w:tc>
          <w:tcPr>
            <w:tcW w:type="dxa" w:w="3000"/>
          </w:tcPr>
          <w:p>
            <w:r>
              <w:rPr>
                <w:b w:val="false"/>
                <w:bCs w:val="false"/>
                <w:sz w:val="20"/>
                <w:szCs w:val="20"/>
              </w:rPr>
              <w:t xml:space="preserve">Follows WP#26 Table 9-1's ASIC sign-off stage</w:t>
            </w:r>
          </w:p>
        </w:tc>
      </w:tr>
      <w:tr>
        <w:tc>
          <w:tcPr>
            <w:tcW w:type="dxa" w:w="2200"/>
          </w:tcPr>
          <w:p>
            <w:r>
              <w:rPr>
                <w:b w:val="false"/>
                <w:bCs w:val="false"/>
                <w:sz w:val="20"/>
                <w:szCs w:val="20"/>
              </w:rPr>
              <w:t xml:space="preserve">9.4 Field Validation</w:t>
            </w:r>
          </w:p>
        </w:tc>
        <w:tc>
          <w:tcPr>
            <w:tcW w:type="dxa" w:w="4160"/>
          </w:tcPr>
          <w:p>
            <w:r>
              <w:rPr>
                <w:b w:val="false"/>
                <w:bCs w:val="false"/>
                <w:sz w:val="20"/>
                <w:szCs w:val="20"/>
              </w:rPr>
              <w:t xml:space="preserve">Self-healing/alternate-path activation validated under real link-loss conditions in the field</w:t>
            </w:r>
          </w:p>
        </w:tc>
        <w:tc>
          <w:tcPr>
            <w:tcW w:type="dxa" w:w="3000"/>
          </w:tcPr>
          <w:p>
            <w:r>
              <w:rPr>
                <w:b w:val="false"/>
                <w:bCs w:val="false"/>
                <w:sz w:val="20"/>
                <w:szCs w:val="20"/>
              </w:rPr>
              <w:t xml:space="preserve">Follows WP#28 Table 6-1's field validation procedure pattern</w:t>
            </w:r>
          </w:p>
        </w:tc>
      </w:tr>
    </w:tbl>
    <w:p>
      <w:pPr>
        <w:spacing w:after="200"/>
      </w:pPr>
      <w:r>
        <w:rPr>
          <w:i/>
          <w:iCs/>
          <w:sz w:val="20"/>
          <w:szCs w:val="20"/>
        </w:rPr>
        <w:t xml:space="preserve">Table 9-1. Staged Hardware Validation Plan — follows WP#26/WP#28 precedent</w:t>
      </w:r>
    </w:p>
    <w:p>
      <w:pPr>
        <w:spacing w:after="200"/>
      </w:pPr>
      <w:r>
        <w:rPr>
          <w:b/>
          <w:bCs/>
          <w:i/>
          <w:iCs/>
          <w:sz w:val="22"/>
          <w:szCs w:val="22"/>
        </w:rPr>
        <w:t xml:space="preserve">Open — OI-30-08: </w:t>
      </w:r>
      <w:r>
        <w:rPr>
          <w:i/>
          <w:iCs/>
          <w:sz w:val="22"/>
          <w:szCs w:val="22"/>
        </w:rPr>
        <w:t xml:space="preserve">(Retained) Specific test items and pass/fail criteria for each of the four stages above are not yet drafted — the stages themselves are fixed, but exit criteria (analogous to WP#26 Table 9-1's per-row "Exit Criterion" column) are not.</w:t>
      </w:r>
    </w:p>
    <w:p>
      <w:pPr>
        <w:spacing w:after="200"/>
      </w:pPr>
      <w:r>
        <w:rPr>
          <w:b/>
          <w:bCs/>
          <w:i/>
          <w:iCs/>
          <w:sz w:val="22"/>
          <w:szCs w:val="22"/>
        </w:rPr>
        <w:t xml:space="preserve">Open — OI-30-20: </w:t>
      </w:r>
      <w:r>
        <w:rPr>
          <w:i/>
          <w:iCs/>
          <w:sz w:val="22"/>
          <w:szCs w:val="22"/>
        </w:rPr>
        <w:t xml:space="preserve">Pass criteria specifically for self-healing/alternate-path field validation (§9.4) — e.g. maximum acceptable recovery time, required fault-injection coverage — are not defined.</w:t>
      </w:r>
    </w:p>
    <w:p>
      <w:pPr>
        <w:pStyle w:val="Heading1"/>
        <w:spacing w:after="160" w:before="280"/>
      </w:pPr>
      <w:r>
        <w:rPr>
          <w:b/>
          <w:bCs/>
        </w:rPr>
        <w:t xml:space="preserve">10.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OI-30-01</w:t>
            </w:r>
          </w:p>
        </w:tc>
        <w:tc>
          <w:tcPr>
            <w:tcW w:type="dxa" w:w="900"/>
          </w:tcPr>
          <w:p>
            <w:r>
              <w:rPr>
                <w:b w:val="false"/>
                <w:bCs w:val="false"/>
                <w:sz w:val="20"/>
                <w:szCs w:val="20"/>
              </w:rPr>
              <w:t xml:space="preserve">4</w:t>
            </w:r>
          </w:p>
        </w:tc>
        <w:tc>
          <w:tcPr>
            <w:tcW w:type="dxa" w:w="5860"/>
          </w:tcPr>
          <w:p>
            <w:r>
              <w:rPr>
                <w:b w:val="false"/>
                <w:bCs w:val="false"/>
                <w:sz w:val="20"/>
                <w:szCs w:val="20"/>
              </w:rPr>
              <w:t xml:space="preserve">Register mapping confirmed for Slot 3/4, Bundle Uplink, monitoring, EAI control plane (Tables 4-1–4-4); Slot 2 wire format and handshake/timing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OI-30-02</w:t>
            </w:r>
          </w:p>
        </w:tc>
        <w:tc>
          <w:tcPr>
            <w:tcW w:type="dxa" w:w="900"/>
          </w:tcPr>
          <w:p>
            <w:r>
              <w:rPr>
                <w:b w:val="false"/>
                <w:bCs w:val="false"/>
                <w:sz w:val="20"/>
                <w:szCs w:val="20"/>
              </w:rPr>
              <w:t xml:space="preserve">5</w:t>
            </w:r>
          </w:p>
        </w:tc>
        <w:tc>
          <w:tcPr>
            <w:tcW w:type="dxa" w:w="5860"/>
          </w:tcPr>
          <w:p>
            <w:r>
              <w:rPr>
                <w:b w:val="false"/>
                <w:bCs w:val="false"/>
                <w:sz w:val="20"/>
                <w:szCs w:val="20"/>
              </w:rPr>
              <w:t xml:space="preserve">128-bit frame format, common header, and per-message-type payload structure confirmed for all 7 message types (Tables 5-0/5-1/5-2)</w:t>
            </w:r>
          </w:p>
        </w:tc>
        <w:tc>
          <w:tcPr>
            <w:tcW w:type="dxa" w:w="1600"/>
          </w:tcPr>
          <w:p>
            <w:r>
              <w:rPr>
                <w:b w:val="false"/>
                <w:bCs w:val="false"/>
                <w:sz w:val="20"/>
                <w:szCs w:val="20"/>
              </w:rPr>
              <w:t xml:space="preserve">RESOLVED (mostly) — sub-field widths narrowed to OI-30-14</w:t>
            </w:r>
          </w:p>
        </w:tc>
      </w:tr>
      <w:tr>
        <w:tc>
          <w:tcPr>
            <w:tcW w:type="dxa" w:w="1000"/>
          </w:tcPr>
          <w:p>
            <w:r>
              <w:rPr>
                <w:b w:val="false"/>
                <w:bCs w:val="false"/>
                <w:sz w:val="20"/>
                <w:szCs w:val="20"/>
              </w:rPr>
              <w:t xml:space="preserve">OI-30-14</w:t>
            </w:r>
          </w:p>
        </w:tc>
        <w:tc>
          <w:tcPr>
            <w:tcW w:type="dxa" w:w="900"/>
          </w:tcPr>
          <w:p>
            <w:r>
              <w:rPr>
                <w:b w:val="false"/>
                <w:bCs w:val="false"/>
                <w:sz w:val="20"/>
                <w:szCs w:val="20"/>
              </w:rPr>
              <w:t xml:space="preserve">5.3</w:t>
            </w:r>
          </w:p>
        </w:tc>
        <w:tc>
          <w:tcPr>
            <w:tcW w:type="dxa" w:w="5860"/>
          </w:tcPr>
          <w:p>
            <w:r>
              <w:rPr>
                <w:b w:val="false"/>
                <w:bCs w:val="false"/>
                <w:sz w:val="20"/>
                <w:szCs w:val="20"/>
              </w:rPr>
              <w:t xml:space="preserve">Exact bit widths for CAPABILITY_FLAGS, LAYER_ID, REASON_CODE payload sub-fields not finalized (HEALTH_STATUS/RELEASE_REASON/FORCE_REASON are fixed)</w:t>
            </w:r>
          </w:p>
        </w:tc>
        <w:tc>
          <w:tcPr>
            <w:tcW w:type="dxa" w:w="1600"/>
          </w:tcPr>
          <w:p>
            <w:r>
              <w:rPr>
                <w:b w:val="false"/>
                <w:bCs w:val="false"/>
                <w:sz w:val="20"/>
                <w:szCs w:val="20"/>
              </w:rPr>
              <w:t xml:space="preserve">Open — new, narrowed from OI-30-02</w:t>
            </w:r>
          </w:p>
        </w:tc>
      </w:tr>
      <w:tr>
        <w:tc>
          <w:tcPr>
            <w:tcW w:type="dxa" w:w="1000"/>
          </w:tcPr>
          <w:p>
            <w:r>
              <w:rPr>
                <w:b w:val="false"/>
                <w:bCs w:val="false"/>
                <w:sz w:val="20"/>
                <w:szCs w:val="20"/>
              </w:rPr>
              <w:t xml:space="preserve">OI-30-03</w:t>
            </w:r>
          </w:p>
        </w:tc>
        <w:tc>
          <w:tcPr>
            <w:tcW w:type="dxa" w:w="900"/>
          </w:tcPr>
          <w:p>
            <w:r>
              <w:rPr>
                <w:b w:val="false"/>
                <w:bCs w:val="false"/>
                <w:sz w:val="20"/>
                <w:szCs w:val="20"/>
              </w:rPr>
              <w:t xml:space="preserve">6</w:t>
            </w:r>
          </w:p>
        </w:tc>
        <w:tc>
          <w:tcPr>
            <w:tcW w:type="dxa" w:w="5860"/>
          </w:tcPr>
          <w:p>
            <w:r>
              <w:rPr>
                <w:b w:val="false"/>
                <w:bCs w:val="false"/>
                <w:sz w:val="20"/>
                <w:szCs w:val="20"/>
              </w:rPr>
              <w:t xml:space="preserve">NPU–Matrix interface confirmed as a reuse of MONITOR_CONFIG_REG/MONITOR_EVENT_REG (§3.1.3) — no separate register needed</w:t>
            </w:r>
          </w:p>
        </w:tc>
        <w:tc>
          <w:tcPr>
            <w:tcW w:type="dxa" w:w="1600"/>
          </w:tcPr>
          <w:p>
            <w:r>
              <w:rPr>
                <w:b w:val="false"/>
                <w:bCs w:val="false"/>
                <w:sz w:val="20"/>
                <w:szCs w:val="20"/>
              </w:rPr>
              <w:t xml:space="preserve">RESOLVED — via §3.1.3 reuse, no new registers</w:t>
            </w:r>
          </w:p>
        </w:tc>
      </w:tr>
      <w:tr>
        <w:tc>
          <w:tcPr>
            <w:tcW w:type="dxa" w:w="1000"/>
          </w:tcPr>
          <w:p>
            <w:r>
              <w:rPr>
                <w:b w:val="false"/>
                <w:bCs w:val="false"/>
                <w:sz w:val="20"/>
                <w:szCs w:val="20"/>
              </w:rPr>
              <w:t xml:space="preserve">OI-30-15</w:t>
            </w:r>
          </w:p>
        </w:tc>
        <w:tc>
          <w:tcPr>
            <w:tcW w:type="dxa" w:w="900"/>
          </w:tcPr>
          <w:p>
            <w:r>
              <w:rPr>
                <w:b w:val="false"/>
                <w:bCs w:val="false"/>
                <w:sz w:val="20"/>
                <w:szCs w:val="20"/>
              </w:rPr>
              <w:t xml:space="preserve">6.4</w:t>
            </w:r>
          </w:p>
        </w:tc>
        <w:tc>
          <w:tcPr>
            <w:tcW w:type="dxa" w:w="5860"/>
          </w:tcPr>
          <w:p>
            <w:r>
              <w:rPr>
                <w:b w:val="false"/>
                <w:bCs w:val="false"/>
                <w:sz w:val="20"/>
                <w:szCs w:val="20"/>
              </w:rPr>
              <w:t xml:space="preserve">LAYER_MASK bit assignment over Core Stack Layers 0–3 not finalized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OI-30-16</w:t>
            </w:r>
          </w:p>
        </w:tc>
        <w:tc>
          <w:tcPr>
            <w:tcW w:type="dxa" w:w="900"/>
          </w:tcPr>
          <w:p>
            <w:r>
              <w:rPr>
                <w:b w:val="false"/>
                <w:bCs w:val="false"/>
                <w:sz w:val="20"/>
                <w:szCs w:val="20"/>
              </w:rPr>
              <w:t xml:space="preserve">6.4</w:t>
            </w:r>
          </w:p>
        </w:tc>
        <w:tc>
          <w:tcPr>
            <w:tcW w:type="dxa" w:w="5860"/>
          </w:tcPr>
          <w:p>
            <w:r>
              <w:rPr>
                <w:b w:val="false"/>
                <w:bCs w:val="false"/>
                <w:sz w:val="20"/>
                <w:szCs w:val="20"/>
              </w:rPr>
              <w:t xml:space="preserve">NPU→Matrix command execution latency budget not specified (distinct from WP#25's PTP accuracy budget)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OI-30-04</w:t>
            </w:r>
          </w:p>
        </w:tc>
        <w:tc>
          <w:tcPr>
            <w:tcW w:type="dxa" w:w="900"/>
          </w:tcPr>
          <w:p>
            <w:r>
              <w:rPr>
                <w:b w:val="false"/>
                <w:bCs w:val="false"/>
                <w:sz w:val="20"/>
                <w:szCs w:val="20"/>
              </w:rPr>
              <w:t xml:space="preserve">3</w:t>
            </w:r>
          </w:p>
        </w:tc>
        <w:tc>
          <w:tcPr>
            <w:tcW w:type="dxa" w:w="5860"/>
          </w:tcPr>
          <w:p>
            <w:r>
              <w:rPr>
                <w:b w:val="false"/>
                <w:bCs w:val="false"/>
                <w:sz w:val="20"/>
                <w:szCs w:val="20"/>
              </w:rPr>
              <w:t xml:space="preserve">Matrix switching/routing RTL module breakdown and state-machine design not yet drafted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OI-30-05</w:t>
            </w:r>
          </w:p>
        </w:tc>
        <w:tc>
          <w:tcPr>
            <w:tcW w:type="dxa" w:w="900"/>
          </w:tcPr>
          <w:p>
            <w:r>
              <w:rPr>
                <w:b w:val="false"/>
                <w:bCs w:val="false"/>
                <w:sz w:val="20"/>
                <w:szCs w:val="20"/>
              </w:rPr>
              <w:t xml:space="preserve">7.1</w:t>
            </w:r>
          </w:p>
        </w:tc>
        <w:tc>
          <w:tcPr>
            <w:tcW w:type="dxa" w:w="5860"/>
          </w:tcPr>
          <w:p>
            <w:r>
              <w:rPr>
                <w:b w:val="false"/>
                <w:bCs w:val="false"/>
                <w:sz w:val="20"/>
                <w:szCs w:val="20"/>
              </w:rPr>
              <w:t xml:space="preserve">Device family narrowed to VU19P/newer (GTM-class 800G PAM4 SerDes requirement excludes VU9P/VU13P); specific part and occupancy still not decided</w:t>
            </w:r>
          </w:p>
        </w:tc>
        <w:tc>
          <w:tcPr>
            <w:tcW w:type="dxa" w:w="1600"/>
          </w:tcPr>
          <w:p>
            <w:r>
              <w:rPr>
                <w:b w:val="false"/>
                <w:bCs w:val="false"/>
                <w:sz w:val="20"/>
                <w:szCs w:val="20"/>
              </w:rPr>
              <w:t xml:space="preserve">Open — narrowed further</w:t>
            </w:r>
          </w:p>
        </w:tc>
      </w:tr>
      <w:tr>
        <w:tc>
          <w:tcPr>
            <w:tcW w:type="dxa" w:w="1000"/>
          </w:tcPr>
          <w:p>
            <w:r>
              <w:rPr>
                <w:b w:val="false"/>
                <w:bCs w:val="false"/>
                <w:sz w:val="20"/>
                <w:szCs w:val="20"/>
              </w:rPr>
              <w:t xml:space="preserve">OI-30-06</w:t>
            </w:r>
          </w:p>
        </w:tc>
        <w:tc>
          <w:tcPr>
            <w:tcW w:type="dxa" w:w="900"/>
          </w:tcPr>
          <w:p>
            <w:r>
              <w:rPr>
                <w:b w:val="false"/>
                <w:bCs w:val="false"/>
                <w:sz w:val="20"/>
                <w:szCs w:val="20"/>
              </w:rPr>
              <w:t xml:space="preserve">7.3/7.4</w:t>
            </w:r>
          </w:p>
        </w:tc>
        <w:tc>
          <w:tcPr>
            <w:tcW w:type="dxa" w:w="5860"/>
          </w:tcPr>
          <w:p>
            <w:r>
              <w:rPr>
                <w:b w:val="false"/>
                <w:bCs w:val="false"/>
                <w:sz w:val="20"/>
                <w:szCs w:val="20"/>
              </w:rPr>
              <w:t xml:space="preserve">Die-level floorplan and power/thermal budget not yet drafted — depends on OI-30-17</w:t>
            </w:r>
          </w:p>
        </w:tc>
        <w:tc>
          <w:tcPr>
            <w:tcW w:type="dxa" w:w="1600"/>
          </w:tcPr>
          <w:p>
            <w:r>
              <w:rPr>
                <w:b w:val="false"/>
                <w:bCs w:val="false"/>
                <w:sz w:val="20"/>
                <w:szCs w:val="20"/>
              </w:rPr>
              <w:t xml:space="preserve">Open — unchanged, now split floorplan/power</w:t>
            </w:r>
          </w:p>
        </w:tc>
      </w:tr>
      <w:tr>
        <w:tc>
          <w:tcPr>
            <w:tcW w:type="dxa" w:w="1000"/>
          </w:tcPr>
          <w:p>
            <w:r>
              <w:rPr>
                <w:b w:val="false"/>
                <w:bCs w:val="false"/>
                <w:sz w:val="20"/>
                <w:szCs w:val="20"/>
              </w:rPr>
              <w:t xml:space="preserve">OI-30-17</w:t>
            </w:r>
          </w:p>
        </w:tc>
        <w:tc>
          <w:tcPr>
            <w:tcW w:type="dxa" w:w="900"/>
          </w:tcPr>
          <w:p>
            <w:r>
              <w:rPr>
                <w:b w:val="false"/>
                <w:bCs w:val="false"/>
                <w:sz w:val="20"/>
                <w:szCs w:val="20"/>
              </w:rPr>
              <w:t xml:space="preserve">7.2</w:t>
            </w:r>
          </w:p>
        </w:tc>
        <w:tc>
          <w:tcPr>
            <w:tcW w:type="dxa" w:w="5860"/>
          </w:tcPr>
          <w:p>
            <w:r>
              <w:rPr>
                <w:b w:val="false"/>
                <w:bCs w:val="false"/>
                <w:sz w:val="20"/>
                <w:szCs w:val="20"/>
              </w:rPr>
              <w:t xml:space="preserve">RESOLVED: 16nm-class mature node, Phase 1 (Table 7-1a); reframed as vendor-agnostic qualification (Table 7-1b, §7.2.1) — any foundry meeting those requirements qualifies; specific vendor remains open, and the three candidate-screening reports (ARM+Samsung, Intel+Broadcom, NVIDIA+TSMC) are references, not a shortlist</w:t>
            </w:r>
          </w:p>
        </w:tc>
        <w:tc>
          <w:tcPr>
            <w:tcW w:type="dxa" w:w="1600"/>
          </w:tcPr>
          <w:p>
            <w:r>
              <w:rPr>
                <w:b w:val="false"/>
                <w:bCs w:val="false"/>
                <w:sz w:val="20"/>
                <w:szCs w:val="20"/>
              </w:rPr>
              <w:t xml:space="preserve">Resolved — reframed as vendor-agnostic qualification</w:t>
            </w:r>
          </w:p>
        </w:tc>
      </w:tr>
      <w:tr>
        <w:tc>
          <w:tcPr>
            <w:tcW w:type="dxa" w:w="1000"/>
          </w:tcPr>
          <w:p>
            <w:r>
              <w:rPr>
                <w:b w:val="false"/>
                <w:bCs w:val="false"/>
                <w:sz w:val="20"/>
                <w:szCs w:val="20"/>
              </w:rPr>
              <w:t xml:space="preserve">OI-30-07</w:t>
            </w:r>
          </w:p>
        </w:tc>
        <w:tc>
          <w:tcPr>
            <w:tcW w:type="dxa" w:w="900"/>
          </w:tcPr>
          <w:p>
            <w:r>
              <w:rPr>
                <w:b w:val="false"/>
                <w:bCs w:val="false"/>
                <w:sz w:val="20"/>
                <w:szCs w:val="20"/>
              </w:rPr>
              <w:t xml:space="preserve">8</w:t>
            </w:r>
          </w:p>
        </w:tc>
        <w:tc>
          <w:tcPr>
            <w:tcW w:type="dxa" w:w="5860"/>
          </w:tcPr>
          <w:p>
            <w:r>
              <w:rPr>
                <w:b w:val="false"/>
                <w:bCs w:val="false"/>
                <w:sz w:val="20"/>
                <w:szCs w:val="20"/>
              </w:rPr>
              <w:t xml:space="preserve">Target clock frequency and timing-closure budgets not yet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OI-30-08</w:t>
            </w:r>
          </w:p>
        </w:tc>
        <w:tc>
          <w:tcPr>
            <w:tcW w:type="dxa" w:w="900"/>
          </w:tcPr>
          <w:p>
            <w:r>
              <w:rPr>
                <w:b w:val="false"/>
                <w:bCs w:val="false"/>
                <w:sz w:val="20"/>
                <w:szCs w:val="20"/>
              </w:rPr>
              <w:t xml:space="preserve">9</w:t>
            </w:r>
          </w:p>
        </w:tc>
        <w:tc>
          <w:tcPr>
            <w:tcW w:type="dxa" w:w="5860"/>
          </w:tcPr>
          <w:p>
            <w:r>
              <w:rPr>
                <w:b w:val="false"/>
                <w:bCs w:val="false"/>
                <w:sz w:val="20"/>
                <w:szCs w:val="20"/>
              </w:rPr>
              <w:t xml:space="preserve">4 validation stages fixed (Table 9-1); per-stage exit criteria not yet drafted</w:t>
            </w:r>
          </w:p>
        </w:tc>
        <w:tc>
          <w:tcPr>
            <w:tcW w:type="dxa" w:w="1600"/>
          </w:tcPr>
          <w:p>
            <w:r>
              <w:rPr>
                <w:b w:val="false"/>
                <w:bCs w:val="false"/>
                <w:sz w:val="20"/>
                <w:szCs w:val="20"/>
              </w:rPr>
              <w:t xml:space="preserve">Open — narrowed</w:t>
            </w:r>
          </w:p>
        </w:tc>
      </w:tr>
      <w:tr>
        <w:tc>
          <w:tcPr>
            <w:tcW w:type="dxa" w:w="1000"/>
          </w:tcPr>
          <w:p>
            <w:r>
              <w:rPr>
                <w:b w:val="false"/>
                <w:bCs w:val="false"/>
                <w:sz w:val="20"/>
                <w:szCs w:val="20"/>
              </w:rPr>
              <w:t xml:space="preserve">OI-30-20</w:t>
            </w:r>
          </w:p>
        </w:tc>
        <w:tc>
          <w:tcPr>
            <w:tcW w:type="dxa" w:w="900"/>
          </w:tcPr>
          <w:p>
            <w:r>
              <w:rPr>
                <w:b w:val="false"/>
                <w:bCs w:val="false"/>
                <w:sz w:val="20"/>
                <w:szCs w:val="20"/>
              </w:rPr>
              <w:t xml:space="preserve">9.4</w:t>
            </w:r>
          </w:p>
        </w:tc>
        <w:tc>
          <w:tcPr>
            <w:tcW w:type="dxa" w:w="5860"/>
          </w:tcPr>
          <w:p>
            <w:r>
              <w:rPr>
                <w:b w:val="false"/>
                <w:bCs w:val="false"/>
                <w:sz w:val="20"/>
                <w:szCs w:val="20"/>
              </w:rPr>
              <w:t xml:space="preserve">Pass criteria for self-healing/alternate-path field validation (recovery time, fault-injection coverage) not 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OI-30-09</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MONITOR_STATUS_REG/CONFIG_REG field layout</w:t>
            </w:r>
          </w:p>
        </w:tc>
        <w:tc>
          <w:tcPr>
            <w:tcW w:type="dxa" w:w="1600"/>
          </w:tcPr>
          <w:p>
            <w:r>
              <w:rPr>
                <w:b w:val="false"/>
                <w:bCs w:val="false"/>
                <w:sz w:val="20"/>
                <w:szCs w:val="20"/>
              </w:rPr>
              <w:t xml:space="preserve">RESOLVED — Table 3-2c/3-2d</w:t>
            </w:r>
          </w:p>
        </w:tc>
      </w:tr>
      <w:tr>
        <w:tc>
          <w:tcPr>
            <w:tcW w:type="dxa" w:w="1000"/>
          </w:tcPr>
          <w:p>
            <w:r>
              <w:rPr>
                <w:b w:val="false"/>
                <w:bCs w:val="false"/>
                <w:sz w:val="20"/>
                <w:szCs w:val="20"/>
              </w:rPr>
              <w:t xml:space="preserve">OI-30-10</w:t>
            </w:r>
          </w:p>
        </w:tc>
        <w:tc>
          <w:tcPr>
            <w:tcW w:type="dxa" w:w="900"/>
          </w:tcPr>
          <w:p>
            <w:r>
              <w:rPr>
                <w:b w:val="false"/>
                <w:bCs w:val="false"/>
                <w:sz w:val="20"/>
                <w:szCs w:val="20"/>
              </w:rPr>
              <w:t xml:space="preserve">3.3</w:t>
            </w:r>
          </w:p>
        </w:tc>
        <w:tc>
          <w:tcPr>
            <w:tcW w:type="dxa" w:w="5860"/>
          </w:tcPr>
          <w:p>
            <w:r>
              <w:rPr>
                <w:b w:val="false"/>
                <w:bCs w:val="false"/>
                <w:sz w:val="20"/>
                <w:szCs w:val="20"/>
              </w:rPr>
              <w:t xml:space="preserve">RTL data path from MONITOR_CH into Matrix switch fabric</w:t>
            </w:r>
          </w:p>
        </w:tc>
        <w:tc>
          <w:tcPr>
            <w:tcW w:type="dxa" w:w="1600"/>
          </w:tcPr>
          <w:p>
            <w:r>
              <w:rPr>
                <w:b w:val="false"/>
                <w:bCs w:val="false"/>
                <w:sz w:val="20"/>
                <w:szCs w:val="20"/>
              </w:rPr>
              <w:t xml:space="preserve">RESOLVED — Table 3-5 (module path + signals); clocking split out as OI-30-12</w:t>
            </w:r>
          </w:p>
        </w:tc>
      </w:tr>
      <w:tr>
        <w:tc>
          <w:tcPr>
            <w:tcW w:type="dxa" w:w="1000"/>
          </w:tcPr>
          <w:p>
            <w:r>
              <w:rPr>
                <w:b w:val="false"/>
                <w:bCs w:val="false"/>
                <w:sz w:val="20"/>
                <w:szCs w:val="20"/>
              </w:rPr>
              <w:t xml:space="preserve">OI-30-11</w:t>
            </w:r>
          </w:p>
        </w:tc>
        <w:tc>
          <w:tcPr>
            <w:tcW w:type="dxa" w:w="900"/>
          </w:tcPr>
          <w:p>
            <w:r>
              <w:rPr>
                <w:b w:val="false"/>
                <w:bCs w:val="false"/>
                <w:sz w:val="20"/>
                <w:szCs w:val="20"/>
              </w:rPr>
              <w:t xml:space="preserve">3.1.3 / 3.2</w:t>
            </w:r>
          </w:p>
        </w:tc>
        <w:tc>
          <w:tcPr>
            <w:tcW w:type="dxa" w:w="5860"/>
          </w:tcPr>
          <w:p>
            <w:r>
              <w:rPr>
                <w:b w:val="false"/>
                <w:bCs w:val="false"/>
                <w:sz w:val="20"/>
                <w:szCs w:val="20"/>
              </w:rPr>
              <w:t xml:space="preserve">SCALE_UP/DOWN_THRESHOLD values not fixed — 80%/20% illustrative only</w:t>
            </w:r>
          </w:p>
        </w:tc>
        <w:tc>
          <w:tcPr>
            <w:tcW w:type="dxa" w:w="1600"/>
          </w:tcPr>
          <w:p>
            <w:r>
              <w:rPr>
                <w:b w:val="false"/>
                <w:bCs w:val="false"/>
                <w:sz w:val="20"/>
                <w:szCs w:val="20"/>
              </w:rPr>
              <w:t xml:space="preserve">Open — new, deployment decision</w:t>
            </w:r>
          </w:p>
        </w:tc>
      </w:tr>
      <w:tr>
        <w:tc>
          <w:tcPr>
            <w:tcW w:type="dxa" w:w="1000"/>
          </w:tcPr>
          <w:p>
            <w:r>
              <w:rPr>
                <w:b w:val="false"/>
                <w:bCs w:val="false"/>
                <w:sz w:val="20"/>
                <w:szCs w:val="20"/>
              </w:rPr>
              <w:t xml:space="preserve">OI-30-12</w:t>
            </w:r>
          </w:p>
        </w:tc>
        <w:tc>
          <w:tcPr>
            <w:tcW w:type="dxa" w:w="900"/>
          </w:tcPr>
          <w:p>
            <w:r>
              <w:rPr>
                <w:b w:val="false"/>
                <w:bCs w:val="false"/>
                <w:sz w:val="20"/>
                <w:szCs w:val="20"/>
              </w:rPr>
              <w:t xml:space="preserve">3.3</w:t>
            </w:r>
          </w:p>
        </w:tc>
        <w:tc>
          <w:tcPr>
            <w:tcW w:type="dxa" w:w="5860"/>
          </w:tcPr>
          <w:p>
            <w:r>
              <w:rPr>
                <w:b w:val="false"/>
                <w:bCs w:val="false"/>
                <w:sz w:val="20"/>
                <w:szCs w:val="20"/>
              </w:rPr>
              <w:t xml:space="preserve">Clock domain relationship between MONITOR_CH and Matrix switch control logic (shared vs. CDC) not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(cross-ref) OI-29-23</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MONITOR_CH's O8-based slot allocation logic (12 control + 180 Pass) not yet scaled/confirmed for D12/I20 — FACE_ID width itself is sufficient (5-bit covers 20 faces)</w:t>
            </w:r>
          </w:p>
        </w:tc>
        <w:tc>
          <w:tcPr>
            <w:tcW w:type="dxa" w:w="1600"/>
          </w:tcPr>
          <w:p>
            <w:r>
              <w:rPr>
                <w:b w:val="false"/>
                <w:bCs w:val="false"/>
                <w:sz w:val="20"/>
                <w:szCs w:val="20"/>
              </w:rPr>
              <w:t xml:space="preserve">Open — tracked in WP#29, noted here per 창호</w:t>
            </w:r>
          </w:p>
        </w:tc>
      </w:tr>
      <w:tr>
        <w:tc>
          <w:tcPr>
            <w:tcW w:type="dxa" w:w="1000"/>
          </w:tcPr>
          <w:p>
            <w:r>
              <w:rPr>
                <w:b w:val="false"/>
                <w:bCs w:val="false"/>
                <w:sz w:val="20"/>
                <w:szCs w:val="20"/>
              </w:rPr>
              <w:t xml:space="preserve">OI-30-13</w:t>
            </w:r>
          </w:p>
        </w:tc>
        <w:tc>
          <w:tcPr>
            <w:tcW w:type="dxa" w:w="900"/>
          </w:tcPr>
          <w:p>
            <w:r>
              <w:rPr>
                <w:b w:val="false"/>
                <w:bCs w:val="false"/>
                <w:sz w:val="20"/>
                <w:szCs w:val="20"/>
              </w:rPr>
              <w:t xml:space="preserve">4</w:t>
            </w:r>
          </w:p>
        </w:tc>
        <w:tc>
          <w:tcPr>
            <w:tcW w:type="dxa" w:w="5860"/>
          </w:tcPr>
          <w:p>
            <w:r>
              <w:rPr>
                <w:b w:val="false"/>
                <w:bCs w:val="false"/>
                <w:sz w:val="20"/>
                <w:szCs w:val="20"/>
              </w:rPr>
              <w:t xml:space="preserve">Handshake/timing between node and Dedicated Equipment (Valid/Ready vs. DMA-style) not addressed</w:t>
            </w:r>
          </w:p>
        </w:tc>
        <w:tc>
          <w:tcPr>
            <w:tcW w:type="dxa" w:w="1600"/>
          </w:tcPr>
          <w:p>
            <w:r>
              <w:rPr>
                <w:b w:val="false"/>
                <w:bCs w:val="false"/>
                <w:sz w:val="20"/>
                <w:szCs w:val="20"/>
              </w:rPr>
              <w:t xml:space="preserve">Open — new</w:t>
            </w:r>
          </w:p>
        </w:tc>
      </w:tr>
    </w:tbl>
    <w:p>
      <w:pPr>
        <w:spacing w:after="200"/>
      </w:pPr>
      <w:r>
        <w:rPr>
          <w:i/>
          <w:iCs/>
          <w:sz w:val="20"/>
          <w:szCs w:val="20"/>
        </w:rPr>
        <w:t xml:space="preserve">Table 10-1. WP#30 Open Items — v1.5 (18 own items + 1 cross-referenced; OI-30-17 reframed as vendor-agnostic qualification)</w:t>
      </w:r>
    </w:p>
    <w:p>
      <w:pPr>
        <w:pStyle w:val="Heading1"/>
        <w:spacing w:after="160" w:before="280"/>
      </w:pPr>
      <w:r>
        <w:rPr>
          <w:b/>
          <w:bCs/>
        </w:rPr>
        <w:t xml:space="preserve">11. Conclusion and Next Steps</w:t>
      </w:r>
    </w:p>
    <w:p>
      <w:pPr>
        <w:spacing w:after="160"/>
      </w:pPr>
      <w:r>
        <w:rPr>
          <w:b w:val="false"/>
          <w:bCs w:val="false"/>
          <w:i w:val="false"/>
          <w:iCs w:val="false"/>
          <w:sz w:val="22"/>
          <w:szCs w:val="22"/>
        </w:rPr>
        <w:t xml:space="preserve">OI-30-17 (ASIC process node) is resolved this session: 창호 selected a 16nm-class mature node for Phase 1, explicitly not inheriting SEU1's precedent automatically but arriving at the same class of node through independent reasoning suited to Velsanet's current program stage (architecture record / RTL / PCB design, not pre-tapeout) — mature toolchain, lower NRE risk, and confirmed PMIC headroom (≈225W VU19P FPGA envelope vs. an estimated 110–155W ASIC draw). A 5nm-class migration is kept as an explicit, non-committed Phase 2 roadmap item (Table 7-1a). This resolution substantially unblocks WP#31's remaining ASIC-stage BOM item and WP#32's §3 (component placement) and §6 (thermal design), both previously blocked on this item. Specific foundry selection remains open, and per 창호's explicit direction this session, this document no longer frames that as narrowing toward one named vendor — §7.2.1's Table 7-1b fixes vendor-agnostic qualification requirements instead, so any foundry meeting them qualifies. Three independent candidate-screening reports (ARM+Samsung, Intel+Broadcom, NVIDIA+TSMC) are logged as references against that table, not as a shortlist. This is the last major cross-document blocker in the WP#30/31/32 chain — downstream propagation into WP#31 §8 and WP#32 §3/§6 is the natural next step.</w:t>
      </w:r>
    </w:p>
    <w:p>
      <w:pPr>
        <w:spacing w:after="160"/>
      </w:pPr>
      <w:r>
        <w:rPr>
          <w:b w:val="false"/>
          <w:bCs w:val="false"/>
          <w:i/>
          <w:iCs/>
          <w:sz w:val="22"/>
          <w:szCs w:val="22"/>
        </w:rPr>
        <w:t xml:space="preserve">Velsanet Architecture Group  —  Internal Technical Document (Skeleton Draft)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2026-07-11T02:37:27.954Z</dcterms:created>
  <dcterms:modified xsi:type="dcterms:W3CDTF">2026-07-11T02:37:27.965Z</dcterms:modified>
</cp:coreProperties>
</file>

<file path=docProps/custom.xml><?xml version="1.0" encoding="utf-8"?>
<Properties xmlns="http://schemas.openxmlformats.org/officeDocument/2006/custom-properties" xmlns:vt="http://schemas.openxmlformats.org/officeDocument/2006/docPropsVTypes"/>
</file>