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4B98" w:rsidRDefault="006F669D">
      <w:pPr>
        <w:spacing w:before="480" w:after="80"/>
      </w:pPr>
      <w:r>
        <w:rPr>
          <w:rFonts w:eastAsia="Arial"/>
          <w:b/>
          <w:bCs/>
          <w:color w:val="1F4E79"/>
          <w:sz w:val="48"/>
          <w:szCs w:val="48"/>
        </w:rPr>
        <w:t>VELSANET</w:t>
      </w:r>
    </w:p>
    <w:p w:rsidR="00A84B98" w:rsidRDefault="006F669D">
      <w:pPr>
        <w:spacing w:after="40"/>
      </w:pPr>
      <w:r>
        <w:rPr>
          <w:rFonts w:eastAsia="Arial"/>
          <w:i/>
          <w:iCs/>
          <w:color w:val="2E75B6"/>
          <w:sz w:val="26"/>
          <w:szCs w:val="26"/>
        </w:rPr>
        <w:t>Structure-Native Network Architecture</w:t>
      </w:r>
    </w:p>
    <w:p w:rsidR="00A84B98" w:rsidRDefault="00A84B98">
      <w:pPr>
        <w:pBdr>
          <w:bottom w:val="single" w:sz="6" w:space="6" w:color="2E75B6"/>
        </w:pBdr>
        <w:spacing w:after="40"/>
      </w:pPr>
    </w:p>
    <w:p w:rsidR="00A84B98" w:rsidRDefault="00A84B98">
      <w:pPr>
        <w:spacing w:after="40"/>
      </w:pPr>
    </w:p>
    <w:p w:rsidR="00A84B98" w:rsidRDefault="006F669D">
      <w:pPr>
        <w:spacing w:after="60"/>
      </w:pPr>
      <w:r>
        <w:rPr>
          <w:rFonts w:eastAsia="Arial"/>
          <w:color w:val="888888"/>
        </w:rPr>
        <w:t>White Paper #23</w:t>
      </w:r>
    </w:p>
    <w:p w:rsidR="00A84B98" w:rsidRDefault="006F669D">
      <w:pPr>
        <w:spacing w:after="120"/>
      </w:pPr>
      <w:r>
        <w:rPr>
          <w:rFonts w:eastAsia="Arial"/>
          <w:b/>
          <w:bCs/>
          <w:color w:val="1F4E79"/>
          <w:sz w:val="40"/>
          <w:szCs w:val="40"/>
        </w:rPr>
        <w:t>6G RU: Multi-User Physical Mapping Design</w:t>
      </w:r>
    </w:p>
    <w:p w:rsidR="00A84B98" w:rsidRDefault="006F669D">
      <w:pPr>
        <w:spacing w:after="360"/>
      </w:pPr>
      <w:r>
        <w:rPr>
          <w:rFonts w:eastAsia="Arial"/>
          <w:i/>
          <w:iCs/>
          <w:color w:val="2E75B6"/>
          <w:sz w:val="24"/>
          <w:szCs w:val="24"/>
        </w:rPr>
        <w:t>— Structure-Native Physical Path Direct Mapping (No-Switching)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8584"/>
      </w:tblGrid>
      <w:tr w:rsidR="00A84B9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rsidR="00A84B98" w:rsidRDefault="006F669D">
            <w:r>
              <w:rPr>
                <w:rFonts w:eastAsia="Arial"/>
                <w:b/>
                <w:bCs/>
                <w:color w:val="1F4E79"/>
                <w:sz w:val="21"/>
                <w:szCs w:val="21"/>
              </w:rPr>
              <w:t>Document No.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A84B98" w:rsidRDefault="006F669D">
            <w:r>
              <w:rPr>
                <w:rFonts w:eastAsia="Arial"/>
                <w:sz w:val="21"/>
                <w:szCs w:val="21"/>
              </w:rPr>
              <w:t>Velsanet-RU-STR-2026-03</w:t>
            </w:r>
          </w:p>
        </w:tc>
      </w:tr>
      <w:tr w:rsidR="00A84B9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rsidR="00A84B98" w:rsidRDefault="006F669D">
            <w:r>
              <w:rPr>
                <w:rFonts w:eastAsia="Arial"/>
                <w:b/>
                <w:bCs/>
                <w:color w:val="1F4E79"/>
                <w:sz w:val="21"/>
                <w:szCs w:val="21"/>
              </w:rPr>
              <w:t>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A84B98" w:rsidRDefault="006F669D">
            <w:r>
              <w:rPr>
                <w:rFonts w:eastAsia="Arial"/>
                <w:sz w:val="21"/>
                <w:szCs w:val="21"/>
              </w:rPr>
              <w:t>March 2026</w:t>
            </w:r>
          </w:p>
        </w:tc>
      </w:tr>
      <w:tr w:rsidR="00A84B9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rsidR="00A84B98" w:rsidRDefault="006F669D">
            <w:r>
              <w:rPr>
                <w:rFonts w:eastAsia="Arial"/>
                <w:b/>
                <w:bCs/>
                <w:color w:val="1F4E79"/>
                <w:sz w:val="21"/>
                <w:szCs w:val="21"/>
              </w:rPr>
              <w:t>Author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A84B98" w:rsidRDefault="006F669D">
            <w:r>
              <w:rPr>
                <w:rFonts w:eastAsia="Arial"/>
                <w:sz w:val="21"/>
                <w:szCs w:val="21"/>
              </w:rPr>
              <w:t>Meta-Architect Song Chang-ho</w:t>
            </w:r>
          </w:p>
        </w:tc>
      </w:tr>
      <w:tr w:rsidR="00A84B9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rsidR="00A84B98" w:rsidRDefault="006F669D">
            <w:r>
              <w:rPr>
                <w:rFonts w:eastAsia="Arial"/>
                <w:b/>
                <w:bCs/>
                <w:color w:val="1F4E79"/>
                <w:sz w:val="21"/>
                <w:szCs w:val="21"/>
              </w:rPr>
              <w:t>Series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A84B98" w:rsidRDefault="006F669D">
            <w:pPr>
              <w:pStyle w:val="1"/>
              <w:pBdr>
                <w:bottom w:val="single" w:sz="4" w:space="4" w:color="2E75B6"/>
              </w:pBdr>
            </w:pPr>
            <w:r>
              <w:t>1. Hardware-Based Multi-Access Mechanism</w:t>
            </w:r>
          </w:p>
          <w:p w:rsidR="00A84B98" w:rsidRDefault="006F669D">
            <w:pPr>
              <w:spacing w:before="60" w:after="100"/>
            </w:pPr>
            <w:r>
              <w:rPr>
                <w:rFonts w:eastAsia="Arial"/>
              </w:rPr>
              <w:t>This design eliminates software schedulers entirely. All multi-user signals are mapped to optical cores in real time through dedicated hardware logic — not through OS-level arbit</w:t>
            </w:r>
            <w:r>
              <w:rPr>
                <w:rFonts w:eastAsia="Arial"/>
              </w:rPr>
              <w:t>ration or packet queuing. The physical structure of the RU is the network.</w:t>
            </w:r>
          </w:p>
          <w:p w:rsidR="00A84B98" w:rsidRDefault="00A84B98">
            <w:pPr>
              <w:spacing w:after="60"/>
            </w:pPr>
          </w:p>
          <w:p w:rsidR="00A84B98" w:rsidRDefault="006F669D">
            <w:pPr>
              <w:pStyle w:val="2"/>
            </w:pPr>
            <w:r>
              <w:t>1.1  Spatial Multiplexing and Slot Assignment  (Spatial → Slot)</w:t>
            </w:r>
          </w:p>
          <w:p w:rsidR="00A84B98" w:rsidRDefault="00A84B98">
            <w:pPr>
              <w:spacing w:after="40"/>
            </w:pPr>
          </w:p>
          <w:p w:rsidR="00A84B98" w:rsidRDefault="006F669D">
            <w:pPr>
              <w:pStyle w:val="a4"/>
              <w:numPr>
                <w:ilvl w:val="0"/>
                <w:numId w:val="2"/>
              </w:numPr>
              <w:spacing w:before="40" w:after="60"/>
            </w:pPr>
            <w:r>
              <w:rPr>
                <w:rFonts w:eastAsia="Arial"/>
                <w:b/>
                <w:bCs/>
              </w:rPr>
              <w:t xml:space="preserve">8-Channel MIMO:  </w:t>
            </w:r>
            <w:r>
              <w:rPr>
                <w:rFonts w:eastAsia="Arial"/>
              </w:rPr>
              <w:t>Signals from multiple users collected at the antenna layer are spatially separated, producing 8 independent wireless streams. Each stream represents a distinct spatial direction — not a distinct user identity.</w:t>
            </w:r>
          </w:p>
          <w:p w:rsidR="00A84B98" w:rsidRDefault="00A84B98">
            <w:pPr>
              <w:spacing w:after="20"/>
            </w:pPr>
          </w:p>
          <w:p w:rsidR="00A84B98" w:rsidRDefault="006F669D">
            <w:pPr>
              <w:pStyle w:val="a4"/>
              <w:numPr>
                <w:ilvl w:val="0"/>
                <w:numId w:val="2"/>
              </w:numPr>
              <w:spacing w:before="40" w:after="60"/>
            </w:pPr>
            <w:r>
              <w:rPr>
                <w:rFonts w:eastAsia="Arial"/>
                <w:b/>
                <w:bCs/>
              </w:rPr>
              <w:t xml:space="preserve">Time-Sensitive Gearbox:  </w:t>
            </w:r>
            <w:r>
              <w:rPr>
                <w:rFonts w:eastAsia="Arial"/>
              </w:rPr>
              <w:t>The 8 separated wire</w:t>
            </w:r>
            <w:r>
              <w:rPr>
                <w:rFonts w:eastAsia="Arial"/>
              </w:rPr>
              <w:t>less data streams are fixed-mapped 1:1 onto 8 Physical Slots within a single optical core. No buffering occurs. No wait state exists. The mapping is deterministic and immediate.</w:t>
            </w:r>
          </w:p>
          <w:p w:rsidR="00A84B98" w:rsidRDefault="00A84B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4B98">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E8F4FB"/>
                  <w:tcMar>
                    <w:top w:w="120" w:type="dxa"/>
                    <w:left w:w="200" w:type="dxa"/>
                    <w:bottom w:w="120" w:type="dxa"/>
                    <w:right w:w="160" w:type="dxa"/>
                  </w:tcMar>
                </w:tcPr>
                <w:p w:rsidR="00A84B98" w:rsidRDefault="006F669D">
                  <w:r>
                    <w:rPr>
                      <w:rFonts w:eastAsia="Arial"/>
                      <w:i/>
                      <w:iCs/>
                      <w:color w:val="1A3A5C"/>
                      <w:sz w:val="21"/>
                      <w:szCs w:val="21"/>
                    </w:rPr>
                    <w:t>Design principle: The Time-Sensitive Gearbox is not a scheduler. It is a fixe</w:t>
                  </w:r>
                  <w:r>
                    <w:rPr>
                      <w:rFonts w:eastAsia="Arial"/>
                      <w:i/>
                      <w:iCs/>
                      <w:color w:val="1A3A5C"/>
                      <w:sz w:val="21"/>
                      <w:szCs w:val="21"/>
                    </w:rPr>
                    <w:t>d hardware interconnect that aligns wireless stream timing to optical slot timing. Once a stream enters a slot, it exits the other end of the fiber at the speed of light with no intermediate logic.</w:t>
                  </w:r>
                </w:p>
              </w:tc>
            </w:tr>
          </w:tbl>
          <w:p w:rsidR="00A84B98" w:rsidRDefault="00A84B98">
            <w:pPr>
              <w:spacing w:after="120"/>
            </w:pPr>
          </w:p>
          <w:p w:rsidR="00A84B98" w:rsidRDefault="006F669D">
            <w:pPr>
              <w:pStyle w:val="2"/>
            </w:pPr>
            <w:r>
              <w:t>1.2  Sector-to-Core Physical Direct Link</w:t>
            </w:r>
          </w:p>
          <w:p w:rsidR="00A84B98" w:rsidRDefault="00A84B98">
            <w:pPr>
              <w:spacing w:after="40"/>
            </w:pPr>
          </w:p>
          <w:p w:rsidR="00A84B98" w:rsidRDefault="006F669D">
            <w:pPr>
              <w:pStyle w:val="a4"/>
              <w:numPr>
                <w:ilvl w:val="0"/>
                <w:numId w:val="2"/>
              </w:numPr>
              <w:spacing w:before="40" w:after="60"/>
            </w:pPr>
            <w:r>
              <w:rPr>
                <w:rFonts w:eastAsia="Arial"/>
                <w:b/>
                <w:bCs/>
              </w:rPr>
              <w:t xml:space="preserve">Fixed Interconnect:  </w:t>
            </w:r>
            <w:r>
              <w:rPr>
                <w:rFonts w:eastAsia="Arial"/>
              </w:rPr>
              <w:t>The Coherent Optical Engine inside the RU is physically wired to transmit data from a specific sector exclusively onto a designated core (Core #N) within the 48-core MOCT ribbon. This wiring is established at manufacture — not configur</w:t>
            </w:r>
            <w:r>
              <w:rPr>
                <w:rFonts w:eastAsia="Arial"/>
              </w:rPr>
              <w:t>ed at runtime.</w:t>
            </w:r>
          </w:p>
          <w:p w:rsidR="00A84B98" w:rsidRDefault="00A84B98">
            <w:pPr>
              <w:spacing w:after="20"/>
            </w:pPr>
          </w:p>
          <w:p w:rsidR="00A84B98" w:rsidRDefault="006F669D">
            <w:pPr>
              <w:pStyle w:val="a4"/>
              <w:numPr>
                <w:ilvl w:val="0"/>
                <w:numId w:val="2"/>
              </w:numPr>
              <w:spacing w:before="40" w:after="60"/>
            </w:pPr>
            <w:r>
              <w:rPr>
                <w:rFonts w:eastAsia="Arial"/>
                <w:b/>
                <w:bCs/>
              </w:rPr>
              <w:t xml:space="preserve">Structure-Native:  </w:t>
            </w:r>
            <w:r>
              <w:rPr>
                <w:rFonts w:eastAsia="Arial"/>
              </w:rPr>
              <w:t>The system does not compute who the user is. It routes data based solely on which sector the signal arrived from, onto a pre-assigned dedicated optical path. Identity is irrelevant; direction is everything.</w:t>
            </w:r>
          </w:p>
          <w:p w:rsidR="00A84B98" w:rsidRDefault="00A84B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4B98">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D6E4F0"/>
                  <w:tcMar>
                    <w:top w:w="160" w:type="dxa"/>
                    <w:left w:w="240" w:type="dxa"/>
                    <w:bottom w:w="160" w:type="dxa"/>
                    <w:right w:w="240" w:type="dxa"/>
                  </w:tcMar>
                </w:tcPr>
                <w:p w:rsidR="00A84B98" w:rsidRDefault="006F669D">
                  <w:pPr>
                    <w:jc w:val="center"/>
                  </w:pPr>
                  <w:r>
                    <w:rPr>
                      <w:rFonts w:eastAsia="Arial"/>
                      <w:b/>
                      <w:bCs/>
                      <w:color w:val="1F4E79"/>
                      <w:sz w:val="23"/>
                      <w:szCs w:val="23"/>
                    </w:rPr>
                    <w:t>"Physical infrastructure is the network's logical structure."</w:t>
                  </w:r>
                </w:p>
              </w:tc>
            </w:tr>
          </w:tbl>
          <w:p w:rsidR="00A84B98" w:rsidRDefault="00A84B98">
            <w:pPr>
              <w:spacing w:after="40"/>
            </w:pPr>
          </w:p>
          <w:p w:rsidR="00A84B98" w:rsidRDefault="006F669D">
            <w:pPr>
              <w:spacing w:before="60" w:after="100"/>
            </w:pPr>
            <w:r>
              <w:rPr>
                <w:rFonts w:eastAsia="Arial"/>
              </w:rPr>
              <w:t>This is the foundational departure from conventional RAN design. Legacy systems identify users, schedule transmissions, manage sessions, and arbitrate across shared resources. In Velsanet Stru</w:t>
            </w:r>
            <w:r>
              <w:rPr>
                <w:rFonts w:eastAsia="Arial"/>
              </w:rPr>
              <w:t>cture-Native RAN, none of these operations exist. The physical path is the only logic.</w:t>
            </w:r>
          </w:p>
          <w:p w:rsidR="00A84B98" w:rsidRDefault="00A84B98">
            <w:pPr>
              <w:spacing w:after="160"/>
            </w:pPr>
          </w:p>
          <w:p w:rsidR="00A84B98" w:rsidRDefault="006F669D">
            <w:pPr>
              <w:spacing w:before="120" w:after="60"/>
              <w:jc w:val="center"/>
            </w:pPr>
            <w:r>
              <w:rPr>
                <w:noProof/>
              </w:rPr>
              <w:drawing>
                <wp:inline distT="0" distB="0" distL="0" distR="0">
                  <wp:extent cx="5943600" cy="4457700"/>
                  <wp:effectExtent l="0" t="0" r="0" b="0"/>
                  <wp:docPr id="1" name="Figure1_RU_In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_RU_Internal"/>
                          <pic:cNvPicPr/>
                        </pic:nvPicPr>
                        <pic:blipFill>
                          <a:blip r:embed="rId7"/>
                          <a:stretch>
                            <a:fillRect/>
                          </a:stretch>
                        </pic:blipFill>
                        <pic:spPr>
                          <a:xfrm>
                            <a:off x="0" y="0"/>
                            <a:ext cx="5943600" cy="4457700"/>
                          </a:xfrm>
                          <a:prstGeom prst="rect">
                            <a:avLst/>
                          </a:prstGeom>
                        </pic:spPr>
                      </pic:pic>
                    </a:graphicData>
                  </a:graphic>
                </wp:inline>
              </w:drawing>
            </w:r>
          </w:p>
          <w:p w:rsidR="00A84B98" w:rsidRDefault="006F669D">
            <w:pPr>
              <w:spacing w:before="60" w:after="20"/>
              <w:jc w:val="center"/>
            </w:pPr>
            <w:r>
              <w:rPr>
                <w:i/>
                <w:color w:val="555555"/>
                <w:sz w:val="18"/>
              </w:rPr>
              <w:t>Figure 1 — RU Internal Architecture: Antenna → MIMO → Time-Sensitive Gearbox → Coherent Optical Engine → 48-Core MOCT Ribbon</w:t>
            </w:r>
          </w:p>
          <w:p w:rsidR="00A84B98" w:rsidRDefault="006F669D">
            <w:pPr>
              <w:pStyle w:val="1"/>
              <w:pBdr>
                <w:bottom w:val="single" w:sz="4" w:space="4" w:color="2E75B6"/>
              </w:pBdr>
            </w:pPr>
            <w:r>
              <w:t>2. Capacity and Scalability Design</w:t>
            </w:r>
          </w:p>
          <w:p w:rsidR="00A84B98" w:rsidRDefault="00A84B9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84B98">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84B98" w:rsidRDefault="006F669D">
                  <w:r>
                    <w:rPr>
                      <w:rFonts w:eastAsia="Arial"/>
                      <w:b/>
                      <w:bCs/>
                      <w:color w:val="FFFFFF"/>
                      <w:sz w:val="21"/>
                      <w:szCs w:val="21"/>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84B98" w:rsidRDefault="006F669D">
                  <w:r>
                    <w:rPr>
                      <w:rFonts w:eastAsia="Arial"/>
                      <w:b/>
                      <w:bCs/>
                      <w:color w:val="FFFFFF"/>
                      <w:sz w:val="21"/>
                      <w:szCs w:val="21"/>
                    </w:rPr>
                    <w:t>Design Specification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84B98" w:rsidRDefault="006F669D">
                  <w:r>
                    <w:rPr>
                      <w:rFonts w:eastAsia="Arial"/>
                      <w:b/>
                      <w:bCs/>
                      <w:color w:val="FFFFFF"/>
                      <w:sz w:val="21"/>
                      <w:szCs w:val="21"/>
                    </w:rPr>
                    <w:t>Note</w:t>
                  </w:r>
                </w:p>
              </w:tc>
            </w:tr>
            <w:tr w:rsidR="00A84B9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sz w:val="21"/>
                      <w:szCs w:val="21"/>
                    </w:rPr>
                    <w:t>Base Capacity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sz w:val="21"/>
                      <w:szCs w:val="21"/>
                    </w:rPr>
                    <w:t xml:space="preserve">1 Tbps / core (8-channel </w:t>
                  </w:r>
                  <w:r>
                    <w:rPr>
                      <w:rFonts w:eastAsia="Arial"/>
                      <w:sz w:val="21"/>
                      <w:szCs w:val="21"/>
                    </w:rPr>
                    <w:lastRenderedPageBreak/>
                    <w:t>aggregate)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i/>
                      <w:iCs/>
                      <w:color w:val="555555"/>
                      <w:sz w:val="20"/>
                      <w:szCs w:val="20"/>
                    </w:rPr>
                    <w:lastRenderedPageBreak/>
                    <w:t>High-density user absorption per single core</w:t>
                  </w:r>
                </w:p>
              </w:tc>
            </w:tr>
            <w:tr w:rsidR="00A84B9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sz w:val="21"/>
                      <w:szCs w:val="21"/>
                    </w:rPr>
                    <w:lastRenderedPageBreak/>
                    <w:t>Structural Headroom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sz w:val="21"/>
                      <w:szCs w:val="21"/>
                    </w:rPr>
                    <w:t>48-Core MOCT Ribbon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i/>
                      <w:iCs/>
                      <w:color w:val="555555"/>
                      <w:sz w:val="20"/>
                      <w:szCs w:val="20"/>
                    </w:rPr>
                    <w:t>3.6× core surplus vs. subscriber count</w:t>
                  </w:r>
                </w:p>
              </w:tc>
            </w:tr>
            <w:tr w:rsidR="00A84B9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sz w:val="21"/>
                      <w:szCs w:val="21"/>
                    </w:rPr>
                    <w:t>Dynamic Expansion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sz w:val="21"/>
                      <w:szCs w:val="21"/>
                    </w:rPr>
                    <w:t>Spare Core Activation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i/>
                      <w:iCs/>
                      <w:color w:val="555555"/>
                      <w:sz w:val="20"/>
                      <w:szCs w:val="20"/>
                    </w:rPr>
                    <w:t>Physical path extension on traffic surge</w:t>
                  </w:r>
                </w:p>
              </w:tc>
            </w:tr>
            <w:tr w:rsidR="00A84B9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sz w:val="21"/>
                      <w:szCs w:val="21"/>
                    </w:rPr>
                    <w:t>Synchronization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sz w:val="21"/>
                      <w:szCs w:val="21"/>
                    </w:rPr>
                    <w:t>Optical Injection Locking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i/>
                      <w:iCs/>
                      <w:color w:val="555555"/>
                      <w:sz w:val="20"/>
                      <w:szCs w:val="20"/>
                    </w:rPr>
                    <w:t>Physical alignment of all user signals</w:t>
                  </w:r>
                </w:p>
              </w:tc>
            </w:tr>
          </w:tbl>
          <w:p w:rsidR="00A84B98" w:rsidRDefault="00A84B98">
            <w:pPr>
              <w:spacing w:after="100"/>
            </w:pPr>
          </w:p>
          <w:p w:rsidR="00A84B98" w:rsidRDefault="006F669D">
            <w:pPr>
              <w:spacing w:before="60" w:after="100"/>
            </w:pPr>
            <w:r>
              <w:rPr>
                <w:rFonts w:eastAsia="Arial"/>
              </w:rPr>
              <w:t>The 48-core MOCT ribbon provides a structural surplus ratio of 3.6× over Seoul's 12 million mobile subscriptions. This surplus is not waste — it is the physical substrate for future demand: IoT sensors, V2X channels, high-density video, and PAI-native mach</w:t>
            </w:r>
            <w:r>
              <w:rPr>
                <w:rFonts w:eastAsia="Arial"/>
              </w:rPr>
              <w:t>ine coordination. When capacity is needed, spare cores are activated. No new civil works. No software reconfiguration. Physical paths are added.</w:t>
            </w:r>
          </w:p>
          <w:p w:rsidR="00A84B98" w:rsidRDefault="00A84B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4B98">
              <w:tblPrEx>
                <w:tblCellMar>
                  <w:top w:w="0" w:type="dxa"/>
                  <w:bottom w:w="0" w:type="dxa"/>
                </w:tblCellMar>
              </w:tblPrEx>
              <w:tc>
                <w:tcPr>
                  <w:tcW w:w="9360" w:type="dxa"/>
                  <w:tcBorders>
                    <w:top w:val="single" w:sz="4" w:space="0" w:color="2E75B6"/>
                    <w:left w:val="single" w:sz="12" w:space="0" w:color="2E75B6"/>
                    <w:bottom w:val="single" w:sz="1" w:space="0" w:color="CCCCCC"/>
                    <w:right w:val="single" w:sz="1" w:space="0" w:color="CCCCCC"/>
                  </w:tcBorders>
                  <w:shd w:val="clear" w:color="auto" w:fill="E8F4FB"/>
                  <w:tcMar>
                    <w:top w:w="120" w:type="dxa"/>
                    <w:left w:w="200" w:type="dxa"/>
                    <w:bottom w:w="120" w:type="dxa"/>
                    <w:right w:w="160" w:type="dxa"/>
                  </w:tcMar>
                </w:tcPr>
                <w:p w:rsidR="00A84B98" w:rsidRDefault="006F669D">
                  <w:r>
                    <w:rPr>
                      <w:rFonts w:eastAsia="Arial"/>
                      <w:i/>
                      <w:iCs/>
                      <w:color w:val="1A3A5C"/>
                      <w:sz w:val="21"/>
                      <w:szCs w:val="21"/>
                    </w:rPr>
                    <w:t>Optical Injection Locking allocates 1 of 48 cores exclusively to clock distribution. H6 transmits the referenc</w:t>
                  </w:r>
                  <w:r>
                    <w:rPr>
                      <w:rFonts w:eastAsia="Arial"/>
                      <w:i/>
                      <w:iCs/>
                      <w:color w:val="1A3A5C"/>
                      <w:sz w:val="21"/>
                      <w:szCs w:val="21"/>
                    </w:rPr>
                    <w:t>e clock to RU via optical carrier. The RU's Coherent Optical Engine locks onto this signal and synchronizes all 8 DSP channels. Clock jitter is eliminated by physical propagation — not by packet-based correction algorithms.</w:t>
                  </w:r>
                </w:p>
              </w:tc>
            </w:tr>
          </w:tbl>
          <w:p w:rsidR="00A84B98" w:rsidRDefault="00A84B98">
            <w:pPr>
              <w:spacing w:after="160"/>
            </w:pPr>
          </w:p>
          <w:p w:rsidR="00A84B98" w:rsidRDefault="006F669D">
            <w:pPr>
              <w:pStyle w:val="1"/>
              <w:pBdr>
                <w:bottom w:val="single" w:sz="4" w:space="4" w:color="2E75B6"/>
              </w:pBdr>
            </w:pPr>
            <w:r>
              <w:t>3. Elements Structurally Eliminated</w:t>
            </w:r>
          </w:p>
          <w:p w:rsidR="00A84B98" w:rsidRDefault="006F669D">
            <w:pPr>
              <w:spacing w:before="60" w:after="100"/>
            </w:pPr>
            <w:r>
              <w:rPr>
                <w:rFonts w:eastAsia="Arial"/>
              </w:rPr>
              <w:t>The following table summarizes the layers and mechanisms that conventional RAN architectures require and that Velsanet Structure-Native RAN does not implement. Elimination is architectural — not a configuration option.</w:t>
            </w:r>
          </w:p>
          <w:p w:rsidR="00A84B98" w:rsidRDefault="00A84B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A84B98">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84B98" w:rsidRDefault="006F669D">
                  <w:r>
                    <w:rPr>
                      <w:rFonts w:eastAsia="Arial"/>
                      <w:b/>
                      <w:bCs/>
                      <w:color w:val="FFFFFF"/>
                      <w:sz w:val="21"/>
                      <w:szCs w:val="21"/>
                    </w:rPr>
                    <w:t>Eliminated Element</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84B98" w:rsidRDefault="006F669D">
                  <w:r>
                    <w:rPr>
                      <w:rFonts w:eastAsia="Arial"/>
                      <w:b/>
                      <w:bCs/>
                      <w:color w:val="FFFFFF"/>
                      <w:sz w:val="21"/>
                      <w:szCs w:val="21"/>
                    </w:rPr>
                    <w:t>Legacy Approach</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A84B98" w:rsidRDefault="006F669D">
                  <w:r>
                    <w:rPr>
                      <w:rFonts w:eastAsia="Arial"/>
                      <w:b/>
                      <w:bCs/>
                      <w:color w:val="FFFFFF"/>
                      <w:sz w:val="21"/>
                      <w:szCs w:val="21"/>
                    </w:rPr>
                    <w:t>Velsanet Structure-Native</w:t>
                  </w:r>
                </w:p>
              </w:tc>
            </w:tr>
            <w:tr w:rsidR="00A84B9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b/>
                      <w:bCs/>
                      <w:color w:val="1F4E79"/>
                      <w:sz w:val="21"/>
                      <w:szCs w:val="21"/>
                    </w:rPr>
                    <w:t>Software Scheduler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color w:val="000000"/>
                      <w:sz w:val="21"/>
                      <w:szCs w:val="21"/>
                    </w:rPr>
                    <w:t>OS-level packet scheduling, queuing, priority arbitration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color w:val="1A4E1A"/>
                      <w:sz w:val="21"/>
                      <w:szCs w:val="21"/>
                    </w:rPr>
                    <w:t>Eliminated — hardware-fixed sector-to-core mapping</w:t>
                  </w:r>
                </w:p>
              </w:tc>
            </w:tr>
            <w:tr w:rsidR="00A84B9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b/>
                      <w:bCs/>
                      <w:color w:val="1F4E79"/>
                      <w:sz w:val="21"/>
                      <w:szCs w:val="21"/>
                    </w:rPr>
                    <w:t>Switching Fabric</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color w:val="000000"/>
                      <w:sz w:val="21"/>
                      <w:szCs w:val="21"/>
                    </w:rPr>
                    <w:t>Electronic crossbar / forwarding table lookup</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color w:val="1A4E1A"/>
                      <w:sz w:val="21"/>
                      <w:szCs w:val="21"/>
                    </w:rPr>
                    <w:t>Eliminated — physical ribbon core pre-assigned at manufacture</w:t>
                  </w:r>
                </w:p>
              </w:tc>
            </w:tr>
            <w:tr w:rsidR="00A84B9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b/>
                      <w:bCs/>
                      <w:color w:val="1F4E79"/>
                      <w:sz w:val="21"/>
                      <w:szCs w:val="21"/>
                    </w:rPr>
                    <w:t>DU / CU Stack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color w:val="000000"/>
                      <w:sz w:val="21"/>
                      <w:szCs w:val="21"/>
                    </w:rPr>
                    <w:t>Virtualized distributed/centralized unit software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color w:val="1A4E1A"/>
                      <w:sz w:val="21"/>
                      <w:szCs w:val="21"/>
                    </w:rPr>
                    <w:t>Eliminated — structural path replaces logical layer</w:t>
                  </w:r>
                </w:p>
              </w:tc>
            </w:tr>
            <w:tr w:rsidR="00A84B9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b/>
                      <w:bCs/>
                      <w:color w:val="1F4E79"/>
                      <w:sz w:val="21"/>
                      <w:szCs w:val="21"/>
                    </w:rPr>
                    <w:t>Session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color w:val="000000"/>
                      <w:sz w:val="21"/>
                      <w:szCs w:val="21"/>
                    </w:rPr>
                    <w:t>User identity computation, authentication per handover</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A84B98" w:rsidRDefault="006F669D">
                  <w:r>
                    <w:rPr>
                      <w:rFonts w:eastAsia="Arial"/>
                      <w:color w:val="1A4E1A"/>
                      <w:sz w:val="21"/>
                      <w:szCs w:val="21"/>
                    </w:rPr>
                    <w:t>Eliminated — direction-based physical routing, no identity check</w:t>
                  </w:r>
                </w:p>
              </w:tc>
            </w:tr>
            <w:tr w:rsidR="00A84B9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b/>
                      <w:bCs/>
                      <w:color w:val="1F4E79"/>
                      <w:sz w:val="21"/>
                      <w:szCs w:val="21"/>
                    </w:rPr>
                    <w:t>Clock Distribution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color w:val="000000"/>
                      <w:sz w:val="21"/>
                      <w:szCs w:val="21"/>
                    </w:rPr>
                    <w:t>PTP / IEEE 1588 packet-based clock recovery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84B98" w:rsidRDefault="006F669D">
                  <w:r>
                    <w:rPr>
                      <w:rFonts w:eastAsia="Arial"/>
                      <w:color w:val="1A4E1A"/>
                      <w:sz w:val="21"/>
                      <w:szCs w:val="21"/>
                    </w:rPr>
                    <w:t>Eliminated — Optical Injection Locking via dedicated core</w:t>
                  </w:r>
                </w:p>
              </w:tc>
            </w:tr>
          </w:tbl>
          <w:p w:rsidR="00A84B98" w:rsidRDefault="00A84B98">
            <w:pPr>
              <w:spacing w:after="100"/>
            </w:pPr>
          </w:p>
          <w:p w:rsidR="00A84B98" w:rsidRDefault="006F669D">
            <w:pPr>
              <w:spacing w:before="60" w:after="100"/>
            </w:pPr>
            <w:r>
              <w:rPr>
                <w:rFonts w:eastAsia="Arial"/>
              </w:rPr>
              <w:t>The consequence of this elimination is absolute: no OS boot, no software fault surface, no scheduler latency, no session re-establishment on handover. The RU has no software state. It is a precision optical-wireless transducer — and nothing more.</w:t>
            </w:r>
          </w:p>
          <w:p w:rsidR="00A84B98" w:rsidRDefault="00A84B98">
            <w:pPr>
              <w:spacing w:after="160"/>
            </w:pPr>
          </w:p>
          <w:p w:rsidR="00A84B98" w:rsidRDefault="006F669D">
            <w:pPr>
              <w:spacing w:before="120" w:after="60"/>
              <w:jc w:val="center"/>
            </w:pPr>
            <w:r>
              <w:rPr>
                <w:noProof/>
              </w:rPr>
              <w:lastRenderedPageBreak/>
              <w:drawing>
                <wp:inline distT="0" distB="0" distL="0" distR="0">
                  <wp:extent cx="5943600" cy="4457700"/>
                  <wp:effectExtent l="0" t="0" r="0" b="0"/>
                  <wp:docPr id="2" name="Figure2_Pole_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_Pole_Installation"/>
                          <pic:cNvPicPr/>
                        </pic:nvPicPr>
                        <pic:blipFill>
                          <a:blip r:embed="rId8"/>
                          <a:stretch>
                            <a:fillRect/>
                          </a:stretch>
                        </pic:blipFill>
                        <pic:spPr>
                          <a:xfrm>
                            <a:off x="0" y="0"/>
                            <a:ext cx="5943600" cy="4457700"/>
                          </a:xfrm>
                          <a:prstGeom prst="rect">
                            <a:avLst/>
                          </a:prstGeom>
                        </pic:spPr>
                      </pic:pic>
                    </a:graphicData>
                  </a:graphic>
                </wp:inline>
              </w:drawing>
            </w:r>
          </w:p>
          <w:p w:rsidR="00A84B98" w:rsidRDefault="006F669D">
            <w:pPr>
              <w:spacing w:before="60" w:after="20"/>
              <w:jc w:val="center"/>
            </w:pPr>
            <w:r>
              <w:rPr>
                <w:i/>
                <w:color w:val="555555"/>
                <w:sz w:val="18"/>
              </w:rPr>
              <w:t>Figure</w:t>
            </w:r>
            <w:r>
              <w:rPr>
                <w:i/>
                <w:color w:val="555555"/>
                <w:sz w:val="18"/>
              </w:rPr>
              <w:t xml:space="preserve"> 2 — Velsanet 6G RU: Utility Pole Physical Installation (Seoul Metropolitan, ~400,000 poles)</w:t>
            </w:r>
          </w:p>
          <w:p w:rsidR="00A84B98" w:rsidRDefault="006F669D">
            <w:pPr>
              <w:pStyle w:val="1"/>
              <w:pBdr>
                <w:bottom w:val="single" w:sz="4" w:space="4" w:color="2E75B6"/>
              </w:pBdr>
            </w:pPr>
            <w:r>
              <w:t>4. Architectural Significance</w:t>
            </w:r>
          </w:p>
          <w:p w:rsidR="00A84B98" w:rsidRDefault="006F669D">
            <w:pPr>
              <w:spacing w:before="60" w:after="100"/>
            </w:pPr>
            <w:r>
              <w:rPr>
                <w:rFonts w:eastAsia="Arial"/>
              </w:rPr>
              <w:t xml:space="preserve">Conventional 6G targets define extreme performance as a specification to be achieved by sophisticated software. Velsanet inverts this: extreme performance is the natural output of structural simplicity. By removing every software layer between antenna and </w:t>
            </w:r>
            <w:r>
              <w:rPr>
                <w:rFonts w:eastAsia="Arial"/>
              </w:rPr>
              <w:t>optical core, the RU achieves 6G's 1 Tbps target and sub-millisecond latency as emergent properties of its physical geometry.</w:t>
            </w:r>
          </w:p>
          <w:p w:rsidR="00A84B98" w:rsidRDefault="00A84B98">
            <w:pPr>
              <w:spacing w:after="80"/>
            </w:pPr>
          </w:p>
          <w:p w:rsidR="00A84B98" w:rsidRDefault="006F669D">
            <w:pPr>
              <w:spacing w:before="60" w:after="100"/>
            </w:pPr>
            <w:r>
              <w:rPr>
                <w:rFonts w:eastAsia="Arial"/>
              </w:rPr>
              <w:t>This design is not an optimization of legacy RAN. It is a different class of device. The 900,000 RUs deployed across Seoul's 400,</w:t>
            </w:r>
            <w:r>
              <w:rPr>
                <w:rFonts w:eastAsia="Arial"/>
              </w:rPr>
              <w:t>000 utility poles are not base stations with software stacks — they are physical transducers in a city-scale optical mesh. When the mesh is complete, Seoul's infrastructure will be the first instance of what may properly be called:</w:t>
            </w:r>
          </w:p>
          <w:p w:rsidR="00A84B98" w:rsidRDefault="00A84B9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4B98">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D6E4F0"/>
                  <w:tcMar>
                    <w:top w:w="160" w:type="dxa"/>
                    <w:left w:w="240" w:type="dxa"/>
                    <w:bottom w:w="160" w:type="dxa"/>
                    <w:right w:w="240" w:type="dxa"/>
                  </w:tcMar>
                </w:tcPr>
                <w:p w:rsidR="00A84B98" w:rsidRDefault="006F669D">
                  <w:pPr>
                    <w:jc w:val="center"/>
                  </w:pPr>
                  <w:r>
                    <w:rPr>
                      <w:rFonts w:eastAsia="Arial"/>
                      <w:b/>
                      <w:bCs/>
                      <w:color w:val="1F4E79"/>
                      <w:sz w:val="23"/>
                      <w:szCs w:val="23"/>
                    </w:rPr>
                    <w:t>A Physical Intelligence</w:t>
                  </w:r>
                  <w:r>
                    <w:rPr>
                      <w:rFonts w:eastAsia="Arial"/>
                      <w:b/>
                      <w:bCs/>
                      <w:color w:val="1F4E79"/>
                      <w:sz w:val="23"/>
                      <w:szCs w:val="23"/>
                    </w:rPr>
                    <w:t xml:space="preserve"> Grid — the first of its kind.</w:t>
                  </w:r>
                </w:p>
              </w:tc>
            </w:tr>
          </w:tbl>
          <w:p w:rsidR="00A84B98" w:rsidRDefault="00A84B98">
            <w:pPr>
              <w:spacing w:after="80"/>
            </w:pPr>
          </w:p>
          <w:p w:rsidR="00A84B98" w:rsidRDefault="006F669D">
            <w:pPr>
              <w:spacing w:before="60" w:after="100"/>
            </w:pPr>
            <w:r>
              <w:rPr>
                <w:rFonts w:eastAsia="Arial"/>
              </w:rPr>
              <w:t>Each RU contributes one node to this grid: a fixed optical path from a physical direction in space to a defined core in a ribbon cable. Multiply that by 900,000 nodes, 48 cores each, across 785,690 km of optical infrastruct</w:t>
            </w:r>
            <w:r>
              <w:rPr>
                <w:rFonts w:eastAsia="Arial"/>
              </w:rPr>
              <w:t xml:space="preserve">ure — and the result is not a </w:t>
            </w:r>
            <w:r>
              <w:rPr>
                <w:rFonts w:eastAsia="Arial"/>
              </w:rPr>
              <w:lastRenderedPageBreak/>
              <w:t>network. It is a structured physical medium for intelligence.</w:t>
            </w:r>
          </w:p>
          <w:p w:rsidR="00A84B98" w:rsidRDefault="00A84B98">
            <w:pPr>
              <w:spacing w:after="200"/>
            </w:pPr>
          </w:p>
          <w:p w:rsidR="00A84B98" w:rsidRDefault="006F669D">
            <w:r>
              <w:br w:type="page"/>
            </w:r>
          </w:p>
          <w:p w:rsidR="00A84B98" w:rsidRDefault="006F669D">
            <w:pPr>
              <w:pStyle w:val="1"/>
            </w:pPr>
            <w:r>
              <w:t>5. Hardware Block Detailed Design Specification</w:t>
            </w:r>
          </w:p>
          <w:p w:rsidR="00A84B98" w:rsidRDefault="006F669D">
            <w:pPr>
              <w:spacing w:after="120"/>
            </w:pPr>
            <w:r>
              <w:t>This section defines the internal hardware architecture of the Velsanet 6G RU at the block level. Three functional blocks constitute the complete signal path from antenna to optical core: the Time-Sensitive Gearbox (TSG), the 48-Core MOCT Physical Interfac</w:t>
            </w:r>
            <w:r>
              <w:t>e, and the Optical Injection Locking (OIL) synchronization unit. Together they form a zero-software, hardware-native transduction chain.</w:t>
            </w:r>
          </w:p>
          <w:p w:rsidR="00A84B98" w:rsidRDefault="006F669D">
            <w:pPr>
              <w:pStyle w:val="2"/>
            </w:pPr>
            <w:r>
              <w:t>5.1 Time-Sensitive Gearbox (TSG) — Core Mapping Logic</w:t>
            </w:r>
          </w:p>
          <w:p w:rsidR="00A84B98" w:rsidRDefault="006F669D">
            <w:pPr>
              <w:spacing w:after="60"/>
            </w:pPr>
            <w:r>
              <w:rPr>
                <w:b/>
              </w:rPr>
              <w:t>Function</w:t>
            </w:r>
          </w:p>
          <w:p w:rsidR="00A84B98" w:rsidRDefault="006F669D">
            <w:pPr>
              <w:spacing w:after="120"/>
              <w:ind w:left="360"/>
            </w:pPr>
            <w:r>
              <w:t>Velsanet’s design responsibility begins at the TSG input</w:t>
            </w:r>
            <w:r>
              <w:t xml:space="preserve">. RF processing — antenna, beam-forming, PHY, MAC, A/D conversion — is performed by the 6G RU and is outside Velsanet scope. The TSG receives 8-channel parallel digital baseband output from the 6G RU and performs a strictly 1:1 fixed mapping to 8 assigned </w:t>
            </w:r>
            <w:r>
              <w:t>optical slots. It contains no scheduling logic, no priority queue, no buffer management, and no software interrupt path. It operates as a pure hardware interconnect: signals enter at the RF/optical boundary and exit into the Coherent Optical Engine without</w:t>
            </w:r>
            <w:r>
              <w:t xml:space="preserve"> any intermediate state.</w:t>
            </w:r>
          </w:p>
          <w:p w:rsidR="00A84B98" w:rsidRDefault="006F669D">
            <w:pPr>
              <w:spacing w:after="60"/>
            </w:pPr>
            <w:r>
              <w:rPr>
                <w:b/>
              </w:rPr>
              <w:t>Implementation</w:t>
            </w:r>
          </w:p>
          <w:p w:rsidR="00A84B98" w:rsidRDefault="006F669D">
            <w:pPr>
              <w:spacing w:after="120"/>
              <w:ind w:left="360"/>
            </w:pPr>
            <w:r>
              <w:t>The TSG is implemented as a fixed-delay wiring fabric within a dedicated FPGA or custom ASIC. Each of the 8 input channels is hard-wired to a corresponding output lane through nanosecond-precision delay lines. The de</w:t>
            </w:r>
            <w:r>
              <w:t>lay is matched across all 8 channels to within ±50 ps to ensure slot alignment at the optical engine input. There is no clock domain crossing logic, no FIFO, and no reconfigurable routing plane. The mapping is physically determined at manufacture and canno</w:t>
            </w:r>
            <w:r>
              <w:t>t be altered in the field.</w:t>
            </w:r>
          </w:p>
          <w:p w:rsidR="00A84B98" w:rsidRDefault="006F669D">
            <w:pPr>
              <w:spacing w:after="120"/>
              <w:ind w:left="360"/>
            </w:pPr>
            <w:r>
              <w:t xml:space="preserve">Internally, the FPGA fabric contains 8 independent parallel signal paths, each with a fixed propagation delay of less than 2 ns end-to-end. No time-division multiplexing occurs within the TSG: each channel occupies its dedicated </w:t>
            </w:r>
            <w:r>
              <w:t>physical path at all times.</w:t>
            </w:r>
          </w:p>
          <w:p w:rsidR="00A84B98" w:rsidRDefault="006F669D">
            <w:pPr>
              <w:spacing w:after="60"/>
            </w:pPr>
            <w:r>
              <w:rPr>
                <w:b/>
              </w:rPr>
              <w:t>Differentiation from Legacy RAN</w:t>
            </w:r>
          </w:p>
          <w:p w:rsidR="00A84B98" w:rsidRDefault="006F669D">
            <w:pPr>
              <w:spacing w:after="160"/>
              <w:ind w:left="360"/>
            </w:pPr>
            <w:r>
              <w:t>Legacy RAN architectures employ OS-based packet queuing at the DU layer, introducing variable latency of 0.1–10 ms depending on scheduler load. The TSG eliminates this regime by replacing the sche</w:t>
            </w:r>
            <w:r>
              <w:t>duler with physical slot alignment. The latency contribution of the TSG is bounded by its fixed propagation delay — approximately 2–5 ns, versus 100,000–10,000,000 ns in software-scheduled systems.</w:t>
            </w:r>
          </w:p>
          <w:p w:rsidR="00A84B98" w:rsidRDefault="006F669D">
            <w:pPr>
              <w:pStyle w:val="2"/>
            </w:pPr>
            <w:r>
              <w:t>5.2 48-Core MOCT Physical Interface</w:t>
            </w:r>
          </w:p>
          <w:p w:rsidR="00A84B98" w:rsidRDefault="006F669D">
            <w:pPr>
              <w:spacing w:after="60"/>
            </w:pPr>
            <w:r>
              <w:rPr>
                <w:b/>
              </w:rPr>
              <w:t>Physical Configuration</w:t>
            </w:r>
          </w:p>
          <w:p w:rsidR="00A84B98" w:rsidRDefault="006F669D">
            <w:pPr>
              <w:spacing w:after="80"/>
              <w:ind w:left="360"/>
            </w:pPr>
            <w:r>
              <w:t>The MOCT interface consists of 48 single-mode optical fiber cores in a flat ribbon geometry. Core assignments are permanent and functionally differentiated:</w:t>
            </w:r>
          </w:p>
          <w:p w:rsidR="00A84B98" w:rsidRDefault="006F669D">
            <w:pPr>
              <w:spacing w:after="60"/>
              <w:ind w:left="720"/>
            </w:pPr>
            <w:r>
              <w:rPr>
                <w:b/>
              </w:rPr>
              <w:t xml:space="preserve">Core #1 — </w:t>
            </w:r>
            <w:r>
              <w:t>Channel 1 (structural sensing and control). Device authentication, physical alignment verification, and self-awareness bootstrap per WP#03 and WP#20. Carries no user data.</w:t>
            </w:r>
          </w:p>
          <w:p w:rsidR="00A84B98" w:rsidRDefault="006F669D">
            <w:pPr>
              <w:spacing w:after="60"/>
              <w:ind w:left="720"/>
            </w:pPr>
            <w:r>
              <w:rPr>
                <w:b/>
              </w:rPr>
              <w:lastRenderedPageBreak/>
              <w:t xml:space="preserve">Core #48 — </w:t>
            </w:r>
            <w:r>
              <w:t>Clock reference core (Optical Injection Locking). Carries a continuous-wa</w:t>
            </w:r>
            <w:r>
              <w:t>ve optical reference signal from H6 to RU. Carries no user data. See Section 5.3.</w:t>
            </w:r>
          </w:p>
          <w:p w:rsidR="00A84B98" w:rsidRDefault="006F669D">
            <w:pPr>
              <w:spacing w:after="120"/>
              <w:ind w:left="720"/>
            </w:pPr>
            <w:r>
              <w:rPr>
                <w:b/>
              </w:rPr>
              <w:t xml:space="preserve">Cores #2–#47 — </w:t>
            </w:r>
            <w:r>
              <w:t>46 active data cores. Each core is hard-wired to a specific sector signal output from the Coherent Optical Engine. The mapping is physically determined at manu</w:t>
            </w:r>
            <w:r>
              <w:t>facture.</w:t>
            </w:r>
          </w:p>
          <w:p w:rsidR="00A84B98" w:rsidRDefault="006F669D">
            <w:pPr>
              <w:spacing w:after="60"/>
            </w:pPr>
            <w:r>
              <w:rPr>
                <w:b/>
              </w:rPr>
              <w:t>Hard-Wired Sector-to-Core Assignment</w:t>
            </w:r>
          </w:p>
          <w:p w:rsidR="00A84B98" w:rsidRDefault="006F669D">
            <w:pPr>
              <w:spacing w:after="120"/>
              <w:ind w:left="360"/>
            </w:pPr>
            <w:r>
              <w:t>The Coherent Optical Engine is physically wired such that each sector's optical output feeds exclusively into its pre-designated core. Sector A occupies Core #2–#17 (16 cores). Sector B occupies Core #18–#33. S</w:t>
            </w:r>
            <w:r>
              <w:t>ector C occupies Core #34–#47. This distribution is fixed in the photonic substrate at manufacture.</w:t>
            </w:r>
          </w:p>
          <w:p w:rsidR="00A84B98" w:rsidRDefault="006F669D">
            <w:pPr>
              <w:spacing w:after="60"/>
            </w:pPr>
            <w:r>
              <w:rPr>
                <w:b/>
              </w:rPr>
              <w:t>Structural Headroom: 3.6x Capacity Reserve</w:t>
            </w:r>
          </w:p>
          <w:p w:rsidR="00A84B98" w:rsidRDefault="006F669D">
            <w:pPr>
              <w:spacing w:after="160"/>
              <w:ind w:left="360"/>
            </w:pPr>
            <w:r>
              <w:t>Against Seoul's subscriber density baseline, the 46 active data cores provide 3.6x the physical capacity required</w:t>
            </w:r>
            <w:r>
              <w:t xml:space="preserve"> at peak load. When traffic demand increases, idle cores are activated by the optical engine without any software reconfiguration — no provisioning cycle, no software update, no network re-convergence.</w:t>
            </w:r>
          </w:p>
          <w:p w:rsidR="00A84B98" w:rsidRDefault="006F669D">
            <w:pPr>
              <w:pStyle w:val="2"/>
            </w:pPr>
            <w:r>
              <w:t>5.3 Optical Injection Locking (OIL) — Physical Synchro</w:t>
            </w:r>
            <w:r>
              <w:t>nization Unit</w:t>
            </w:r>
          </w:p>
          <w:p w:rsidR="00A84B98" w:rsidRDefault="006F669D">
            <w:pPr>
              <w:spacing w:after="60"/>
            </w:pPr>
            <w:r>
              <w:rPr>
                <w:b/>
              </w:rPr>
              <w:t>The Synchronization Problem in Conventional RAN</w:t>
            </w:r>
          </w:p>
          <w:p w:rsidR="00A84B98" w:rsidRDefault="006F669D">
            <w:pPr>
              <w:spacing w:after="120"/>
              <w:ind w:left="360"/>
            </w:pPr>
            <w:r>
              <w:t>Conventional RAN synchronization relies on IEEE 1588 PTP or GPS-derived timing transmitted as packet payloads across IP/Ethernet networks. Because packets traverse queues, the timing signal is s</w:t>
            </w:r>
            <w:r>
              <w:t>ubject to variable latency from path asymmetry, queuing delay, and processing jitter. Residual clock jitter is typically 10–100 ns, with worst-case excursions exceeding 1 μs under congestion. This jitter propagates directly into 6G modulation timing.</w:t>
            </w:r>
          </w:p>
          <w:p w:rsidR="00A84B98" w:rsidRDefault="006F669D">
            <w:pPr>
              <w:spacing w:after="60"/>
            </w:pPr>
            <w:r>
              <w:rPr>
                <w:b/>
              </w:rPr>
              <w:t>Opera</w:t>
            </w:r>
            <w:r>
              <w:rPr>
                <w:b/>
              </w:rPr>
              <w:t>ting Principle</w:t>
            </w:r>
          </w:p>
          <w:p w:rsidR="00A84B98" w:rsidRDefault="006F669D">
            <w:pPr>
              <w:spacing w:after="120"/>
              <w:ind w:left="360"/>
            </w:pPr>
            <w:r>
              <w:t xml:space="preserve">OIL replaces the packet-based timing signal with a continuous-wave (CW) optical reference signal transmitted over Core #48. The H6 node emits a spectrally pure CW laser signal into Core #48. At the RU, the Coherent Optical Engine contains a </w:t>
            </w:r>
            <w:r>
              <w:t>slave laser whose cavity is optically coupled to Core #48. The slave laser undergoes injection locking: its oscillation frequency and phase are captured by the incoming reference wave, synchronizing the RU's optical engine to the H6 clock source at the phy</w:t>
            </w:r>
            <w:r>
              <w:t>sical level. No packet is transmitted. No timestamp is parsed. No algorithm computes a correction offset. The lock is established and maintained by the physics of optical resonance — specifically, the Adler equation governing injection locking bandwidth.</w:t>
            </w:r>
          </w:p>
          <w:p w:rsidR="00A84B98" w:rsidRDefault="006F669D">
            <w:pPr>
              <w:spacing w:after="60"/>
            </w:pPr>
            <w:r>
              <w:rPr>
                <w:b/>
              </w:rPr>
              <w:t>S</w:t>
            </w:r>
            <w:r>
              <w:rPr>
                <w:b/>
              </w:rPr>
              <w:t>ynchronization Precision</w:t>
            </w:r>
          </w:p>
          <w:p w:rsidR="00A84B98" w:rsidRDefault="006F669D">
            <w:pPr>
              <w:spacing w:after="120"/>
              <w:ind w:left="360"/>
            </w:pPr>
            <w:r>
              <w:t>Once injection lock is established, the RU slave laser maintains phase coherence with the H6 reference to within femtosecond (10^-15 s) accuracy — four to five orders of magnitude better than packet-based PTP. The jitter of the syn</w:t>
            </w:r>
            <w:r>
              <w:t>chronized clock is bounded only by the phase noise floor of the H6 master laser and the shot noise of the optical path, both deterministic physical constants.</w:t>
            </w:r>
          </w:p>
          <w:p w:rsidR="00A84B98" w:rsidRDefault="006F669D">
            <w:pPr>
              <w:spacing w:after="60"/>
            </w:pPr>
            <w:r>
              <w:rPr>
                <w:b/>
              </w:rPr>
              <w:t>Lock Acquisition Sequence</w:t>
            </w:r>
          </w:p>
          <w:p w:rsidR="00A84B98" w:rsidRDefault="006F669D">
            <w:pPr>
              <w:spacing w:after="60"/>
              <w:ind w:left="360"/>
            </w:pPr>
            <w:r>
              <w:t>The OIL acquisition sequence proceeds entirely in hardware:</w:t>
            </w:r>
          </w:p>
          <w:p w:rsidR="00A84B98" w:rsidRDefault="006F669D">
            <w:pPr>
              <w:spacing w:after="40"/>
              <w:ind w:left="720"/>
            </w:pPr>
            <w:r>
              <w:rPr>
                <w:b/>
              </w:rPr>
              <w:t xml:space="preserve">Step 1 — </w:t>
            </w:r>
            <w:r>
              <w:t>H6 powers on. Core #48 CW reference signal begins propagating immediately.</w:t>
            </w:r>
          </w:p>
          <w:p w:rsidR="00A84B98" w:rsidRDefault="006F669D">
            <w:pPr>
              <w:spacing w:after="40"/>
              <w:ind w:left="720"/>
            </w:pPr>
            <w:r>
              <w:rPr>
                <w:b/>
              </w:rPr>
              <w:t xml:space="preserve">Step 2 — </w:t>
            </w:r>
            <w:r>
              <w:t>RU powers on. Slave laser detects CW signal on Core #48 within nanoseconds of first photon arrival.</w:t>
            </w:r>
          </w:p>
          <w:p w:rsidR="00A84B98" w:rsidRDefault="006F669D">
            <w:pPr>
              <w:spacing w:after="40"/>
              <w:ind w:left="720"/>
            </w:pPr>
            <w:r>
              <w:rPr>
                <w:b/>
              </w:rPr>
              <w:lastRenderedPageBreak/>
              <w:t xml:space="preserve">Step 3 — </w:t>
            </w:r>
            <w:r>
              <w:t>Injection locking engages. Lock acquisition time is approximate</w:t>
            </w:r>
            <w:r>
              <w:t>ly 1–10 μs.</w:t>
            </w:r>
          </w:p>
          <w:p w:rsidR="00A84B98" w:rsidRDefault="006F669D">
            <w:pPr>
              <w:spacing w:after="40"/>
              <w:ind w:left="720"/>
            </w:pPr>
            <w:r>
              <w:rPr>
                <w:b/>
              </w:rPr>
              <w:t xml:space="preserve">Step 4 — </w:t>
            </w:r>
            <w:r>
              <w:t>Lock confirmed. RU optical engine transmits structural identity signal via Core #1 Channel 1 to H6. Self-awareness bootstrap completes per WP#20.</w:t>
            </w:r>
          </w:p>
          <w:p w:rsidR="00A84B98" w:rsidRDefault="006F669D">
            <w:pPr>
              <w:spacing w:after="120"/>
              <w:ind w:left="720"/>
            </w:pPr>
            <w:r>
              <w:rPr>
                <w:b/>
              </w:rPr>
              <w:t xml:space="preserve">Step 5 — </w:t>
            </w:r>
            <w:r>
              <w:t xml:space="preserve">Data cores (Core #2–#47) activate. RU enters operational state. Total boot time </w:t>
            </w:r>
            <w:r>
              <w:t>under 100 ms, with no software initialization path.</w:t>
            </w:r>
          </w:p>
          <w:p w:rsidR="00A84B98" w:rsidRDefault="006F669D">
            <w:pPr>
              <w:spacing w:after="60"/>
            </w:pPr>
            <w:r>
              <w:rPr>
                <w:b/>
              </w:rPr>
              <w:t>Velsanet Clock Hierarchy</w:t>
            </w:r>
          </w:p>
          <w:p w:rsidR="00A84B98" w:rsidRDefault="006F669D">
            <w:pPr>
              <w:spacing w:after="120"/>
              <w:ind w:left="360"/>
            </w:pPr>
            <w:r>
              <w:t>The OIL architecture extends vertically through the full Velsanet hierarchy: I20 → D12 → O8 → H6 → RU. The root clock source resides at the I20 tier, where a GPS-disciplined or at</w:t>
            </w:r>
            <w:r>
              <w:t>omic reference laser serves as the ultimate frequency standard. Each tier locks optically to its parent. No packet crosses the clock path at any level. The entire clock tree is a passive optical phenomenon propagating deterministically through fixed physic</w:t>
            </w:r>
            <w:r>
              <w:t>al paths.</w:t>
            </w:r>
          </w:p>
          <w:p w:rsidR="00A84B98" w:rsidRDefault="006F669D">
            <w:pPr>
              <w:spacing w:after="60"/>
            </w:pPr>
            <w:r>
              <w:rPr>
                <w:b/>
              </w:rPr>
              <w:t>Environmental Stability</w:t>
            </w:r>
          </w:p>
          <w:p w:rsidR="00A84B98" w:rsidRDefault="006F669D">
            <w:pPr>
              <w:spacing w:after="160"/>
              <w:ind w:left="360"/>
            </w:pPr>
            <w:r>
              <w:t xml:space="preserve">Thermal variation in the ribbon cable causes minor changes in fiber refractive index. Single-mode silica fiber exhibits a thermo-optic coefficient of approximately 10^-5 /K, producing a phase shift of 0.1 rad/K over a 7 m </w:t>
            </w:r>
            <w:r>
              <w:t>path. The MOCT MEMS alignment layer (WP#03 Section 8.3) compensates for thermally induced mechanical displacement. Residual phase drift is absorbed within the injection locking bandwidth of the slave laser cavity (designed to exceed 1 GHz), making sub-Hz t</w:t>
            </w:r>
            <w:r>
              <w:t>hermal drift negligible. Clock stability is maintained across -20°C to +60°C without active compensation circuitry.</w:t>
            </w:r>
          </w:p>
          <w:p w:rsidR="00A84B98" w:rsidRDefault="006F669D">
            <w:pPr>
              <w:pStyle w:val="1"/>
            </w:pPr>
            <w:r>
              <w:t>6. Bill of Materials (BOM)</w:t>
            </w:r>
          </w:p>
          <w:p w:rsidR="00A84B98" w:rsidRDefault="006F669D">
            <w:pPr>
              <w:spacing w:after="120"/>
            </w:pPr>
            <w:r>
              <w:t>This section defines the complete material composition of the Velsanet 6G RU at the unit level. The BOM is organi</w:t>
            </w:r>
            <w:r>
              <w:t>zed into two sub-levels: RU internal components, and pole-site assembly including inter-node cabling. All ribbon cables are factory pre-attached and shipped as integral extensions of their respective nodes.</w:t>
            </w:r>
          </w:p>
          <w:p w:rsidR="00A84B98" w:rsidRDefault="006F669D">
            <w:pPr>
              <w:pStyle w:val="2"/>
            </w:pPr>
            <w:r>
              <w:t>6.1 6G RU Internal BOM (per unit)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82"/>
              <w:gridCol w:w="2284"/>
              <w:gridCol w:w="2734"/>
              <w:gridCol w:w="2476"/>
              <w:gridCol w:w="1384"/>
            </w:tblGrid>
            <w:tr w:rsidR="00A84B98">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Assembly / Block</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Component / Specification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Key 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Qty</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23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6F669D">
                  <w:pPr>
                    <w:spacing w:after="60"/>
                  </w:pPr>
                  <w:r>
                    <w:rPr>
                      <w:b/>
                      <w:color w:val="FFFFFF"/>
                      <w:sz w:val="18"/>
                      <w:szCs w:val="18"/>
                    </w:rPr>
                    <w:t>RF Interface Requirements (6G RU Manufacturer Scope)</w:t>
                  </w:r>
                </w:p>
              </w:tc>
              <w:tc>
                <w:tcPr>
                  <w:tcW w:w="27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25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1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RF Output Interface</w:t>
                  </w:r>
                </w:p>
              </w:tc>
              <w:tc>
                <w:tcPr>
                  <w:tcW w:w="2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8-channel MIMO output from 6G RU — per manufacturer spec (sub-THz / mmWave). Velsanet defines the interface requirement only; antenna design is outside Velsanet scope.</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8 independent RF output channels, sector-aligned</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Per RU mfr.</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TSG Input Interface Spec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Velsanet TSG requires: 8-ch parallel digital baseband input, channel-to-slot alignment per sector. RF processing (PHY, MAC, beam-forming) is the responsibility of the 6G RU manufacturer.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Interface boundary: digital baseband output of 6G RU to TSG input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23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6F669D">
                  <w:pPr>
                    <w:spacing w:after="60"/>
                  </w:pPr>
                  <w:r>
                    <w:rPr>
                      <w:b/>
                      <w:color w:val="FFFFFF"/>
                      <w:sz w:val="18"/>
                      <w:szCs w:val="18"/>
                    </w:rPr>
                    <w:t>Time-Sensitive Gearbox (TSG)</w:t>
                  </w:r>
                </w:p>
              </w:tc>
              <w:tc>
                <w:tcPr>
                  <w:tcW w:w="27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25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1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Fixed-Delay Wiring Fabric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FPGA / custom ASIC, 8 hard-wired parallel paths, no scheduler, no FIFO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Propagation delay &lt; 2 ns, ±50 ps channel match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Slot Alignment Circuit</w:t>
                  </w:r>
                </w:p>
              </w:tc>
              <w:tc>
                <w:tcPr>
                  <w:tcW w:w="2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8-lane delay line, hardware-matched across all channels</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Jitter &lt; 50 ps end-to-end</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23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6F669D">
                  <w:pPr>
                    <w:spacing w:after="60"/>
                  </w:pPr>
                  <w:r>
                    <w:rPr>
                      <w:b/>
                      <w:color w:val="FFFFFF"/>
                      <w:sz w:val="18"/>
                      <w:szCs w:val="18"/>
                    </w:rPr>
                    <w:t>MOCT Physical Interface</w:t>
                  </w:r>
                </w:p>
              </w:tc>
              <w:tc>
                <w:tcPr>
                  <w:tcW w:w="27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25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1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Coherent Optical Engine</w:t>
                  </w:r>
                </w:p>
              </w:tc>
              <w:tc>
                <w:tcPr>
                  <w:tcW w:w="2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Wireless-to-optical mapper, sector-to-core hard-wired</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Core #2–#47 (46 data cores), 3.6x capacity reserve</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Slave Laser (OIL)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Injection-lockable laser cavity, coupled to Core #48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Lock bandwidth &gt; 1 GHz, jitter &lt; 1 fs post-lock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7</w:t>
                  </w:r>
                </w:p>
              </w:tc>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Polymer Optical Core Layer</w:t>
                  </w:r>
                </w:p>
              </w:tc>
              <w:tc>
                <w:tcPr>
                  <w:tcW w:w="2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48-core polymer waveguide array, 8 fixed channels per core</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Core #1=control, Core #48=clock, #2–#47=data</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Mechanical Contact Layer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Static micro-contacts, micron-level alignment, no moving parts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Vibration-resistant, zero operational power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9</w:t>
                  </w:r>
                </w:p>
              </w:tc>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MEMS Alignment Layer</w:t>
                  </w:r>
                </w:p>
              </w:tc>
              <w:tc>
                <w:tcPr>
                  <w:tcW w:w="2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Silicon photonics matrix + static MEMS, lithographic precision</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Temp-invariant, -20°C to +60°C</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Pre-attached Ribbon Cable (RU)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48-core single-mode ribbon, factory-fused, no connectors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Length 7 m, permanently bonded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23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6F669D">
                  <w:pPr>
                    <w:spacing w:after="60"/>
                  </w:pPr>
                  <w:r>
                    <w:rPr>
                      <w:b/>
                      <w:color w:val="FFFFFF"/>
                      <w:sz w:val="18"/>
                      <w:szCs w:val="18"/>
                    </w:rPr>
                    <w:t>Mechanical &amp; Power</w:t>
                  </w:r>
                </w:p>
              </w:tc>
              <w:tc>
                <w:tcPr>
                  <w:tcW w:w="276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25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c>
                <w:tcPr>
                  <w:tcW w:w="14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40" w:type="dxa"/>
                    <w:bottom w:w="80" w:type="dxa"/>
                    <w:right w:w="140" w:type="dxa"/>
                  </w:tcMar>
                </w:tcPr>
                <w:p w:rsidR="00A84B98" w:rsidRDefault="00A84B98">
                  <w:pPr>
                    <w:spacing w:after="60"/>
                  </w:pP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Weatherproof Enclosure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IP67-rated outdoor housing, pole-top mount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Operating range -20°C to +60°C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12</w:t>
                  </w:r>
                </w:p>
              </w:tc>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Pole Mounting Bracket</w:t>
                  </w:r>
                </w:p>
              </w:tc>
              <w:tc>
                <w:tcPr>
                  <w:tcW w:w="27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Clamp + tilt-adjust bracket for utility pole top</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Pole diameter 80–150 mm</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Power Supply Unit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DC input or PoE++, surge protection, no active cooling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Power draw &lt; 15 W per RU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w:t>
                  </w:r>
                </w:p>
              </w:tc>
            </w:tr>
          </w:tbl>
          <w:p w:rsidR="00A84B98" w:rsidRDefault="00A84B98">
            <w:pPr>
              <w:spacing w:after="120"/>
            </w:pPr>
          </w:p>
          <w:p w:rsidR="00A84B98" w:rsidRDefault="006F669D">
            <w:pPr>
              <w:pStyle w:val="2"/>
            </w:pPr>
            <w:r>
              <w:t>6.2 Pole-Site Assembly BOM (per pole)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82"/>
              <w:gridCol w:w="2480"/>
              <w:gridCol w:w="2440"/>
              <w:gridCol w:w="2180"/>
              <w:gridCol w:w="1778"/>
            </w:tblGrid>
            <w:tr w:rsidR="00A84B98">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Item</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Specification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Segment / Role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rsidR="00A84B98" w:rsidRDefault="006F669D">
                  <w:pPr>
                    <w:spacing w:after="60"/>
                  </w:pPr>
                  <w:r>
                    <w:rPr>
                      <w:b/>
                      <w:color w:val="FFFFFF"/>
                      <w:sz w:val="18"/>
                      <w:szCs w:val="18"/>
                    </w:rPr>
                    <w:t>Qty</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6G RU (complete unit)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Per 6.1 BOM above, pole-top installation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Wireless entry point — Seg A origin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1–3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H6 Node</w:t>
                  </w:r>
                </w:p>
              </w:tc>
              <w:tc>
                <w:tcPr>
                  <w:tcW w:w="2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C6 Hexahedron, 6-face, autonomous, installed at +2 m</w:t>
                  </w:r>
                </w:p>
              </w:tc>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RAN mesh anchor</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MOCT Ribbon — H6 Face 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48-core, 5 m, factory pre-attached to H6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Seg A — fused with RU cable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lastRenderedPageBreak/>
                    <w:t>4</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MOCT Ribbon — H6 Face 2</w:t>
                  </w:r>
                </w:p>
              </w:tc>
              <w:tc>
                <w:tcPr>
                  <w:tcW w:w="2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144-core (12x12 stack), 5 m, factory pre-attached</w:t>
                  </w:r>
                </w:p>
              </w:tc>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Seg C — H6 to O8 uplink</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MOCT Ribbon — H6 Face 3</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48-core, 5 m, factory pre-attached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Seg B — H6 to adjacent H6 mesh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MOCT Ribbon — H6 Face 4</w:t>
                  </w:r>
                </w:p>
              </w:tc>
              <w:tc>
                <w:tcPr>
                  <w:tcW w:w="2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48-core, 5 m, factory pre-attached</w:t>
                  </w:r>
                </w:p>
              </w:tc>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Seg B — H6 to adjacent H6 mesh</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MOCT Ribbon — H6 Face 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24-core, 5 m, factory pre-attached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T4 downlink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MOCT Ribbon — H6 Face 6</w:t>
                  </w:r>
                </w:p>
              </w:tc>
              <w:tc>
                <w:tcPr>
                  <w:tcW w:w="2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48-core, 5 m, factory pre-attached</w:t>
                  </w:r>
                </w:p>
              </w:tc>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Reserved / expansion</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Ribbon Fusion Splice Kit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Full-ribbon simultaneous fusion, field-grade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RU cable + H6 Face-1 splice (Seg 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 / pole</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b/>
                      <w:color w:val="000000"/>
                      <w:sz w:val="18"/>
                      <w:szCs w:val="18"/>
                    </w:rPr>
                    <w:t>Underground Conduit Section</w:t>
                  </w:r>
                </w:p>
              </w:tc>
              <w:tc>
                <w:tcPr>
                  <w:tcW w:w="2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144-core armored ribbon, H6 to building wall entry</w:t>
                  </w:r>
                </w:p>
              </w:tc>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Seg C buried run</w:t>
                  </w:r>
                </w:p>
              </w:tc>
              <w:tc>
                <w:tcPr>
                  <w:tcW w:w="18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40" w:type="dxa"/>
                    <w:bottom w:w="80" w:type="dxa"/>
                    <w:right w:w="140" w:type="dxa"/>
                  </w:tcMar>
                </w:tcPr>
                <w:p w:rsidR="00A84B98" w:rsidRDefault="006F669D">
                  <w:pPr>
                    <w:spacing w:after="60"/>
                  </w:pPr>
                  <w:r>
                    <w:rPr>
                      <w:color w:val="000000"/>
                      <w:sz w:val="18"/>
                      <w:szCs w:val="18"/>
                    </w:rPr>
                    <w:t>per m</w:t>
                  </w:r>
                </w:p>
              </w:tc>
            </w:tr>
            <w:tr w:rsidR="00A84B9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b/>
                      <w:color w:val="000000"/>
                      <w:sz w:val="18"/>
                      <w:szCs w:val="18"/>
                    </w:rPr>
                    <w:t>Pole Ground Enclosure / Shroud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H6 protective housing, IP67, tamper-resistant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H6 installation enclosure at +2 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84B98" w:rsidRDefault="006F669D">
                  <w:pPr>
                    <w:spacing w:after="60"/>
                  </w:pPr>
                  <w:r>
                    <w:rPr>
                      <w:color w:val="000000"/>
                      <w:sz w:val="18"/>
                      <w:szCs w:val="18"/>
                    </w:rPr>
                    <w:t>1 / pole</w:t>
                  </w:r>
                </w:p>
              </w:tc>
            </w:tr>
          </w:tbl>
          <w:p w:rsidR="00A84B98" w:rsidRDefault="00A84B98">
            <w:pPr>
              <w:spacing w:after="120"/>
            </w:pPr>
          </w:p>
          <w:p w:rsidR="00A84B98" w:rsidRDefault="006F669D">
            <w:pPr>
              <w:spacing w:after="80"/>
            </w:pPr>
            <w:r>
              <w:rPr>
                <w:i/>
                <w:color w:val="555555"/>
              </w:rPr>
              <w:t>Note: All MOCT ribbon cables are factory pre-attached and non-detachable. Field installation involves only ribbon fusion splicing at designated splice points; no pluggable connectors exist in any Velsanet node interface. Quantities marked per m are determi</w:t>
            </w:r>
            <w:r>
              <w:rPr>
                <w:i/>
                <w:color w:val="555555"/>
              </w:rPr>
              <w:t>ned by site survey at deployment time.</w:t>
            </w:r>
          </w:p>
          <w:p w:rsidR="00A84B98" w:rsidRDefault="00A84B98">
            <w:pPr>
              <w:spacing w:after="120"/>
            </w:pPr>
          </w:p>
          <w:p w:rsidR="00A84B98" w:rsidRDefault="006F669D">
            <w:r>
              <w:rPr>
                <w:rFonts w:eastAsia="Arial"/>
                <w:sz w:val="21"/>
                <w:szCs w:val="21"/>
              </w:rPr>
              <w:t>White Paper #23 — Velsanet Architecture Group</w:t>
            </w:r>
          </w:p>
        </w:tc>
        <w:bookmarkStart w:id="0" w:name="_GoBack"/>
        <w:bookmarkEnd w:id="0"/>
      </w:tr>
      <w:tr w:rsidR="00A84B9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rsidR="00A84B98" w:rsidRDefault="006F669D">
            <w:r>
              <w:rPr>
                <w:rFonts w:eastAsia="Arial"/>
                <w:b/>
                <w:bCs/>
                <w:color w:val="1F4E79"/>
                <w:sz w:val="21"/>
                <w:szCs w:val="21"/>
              </w:rPr>
              <w:lastRenderedPageBreak/>
              <w:t>Core Concept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A84B98" w:rsidRDefault="006F669D">
            <w:r>
              <w:rPr>
                <w:rFonts w:eastAsia="Arial"/>
                <w:sz w:val="21"/>
                <w:szCs w:val="21"/>
              </w:rPr>
              <w:t>Structure-Native physical path direct mapping, no software switching</w:t>
            </w:r>
          </w:p>
        </w:tc>
      </w:tr>
      <w:tr w:rsidR="00A84B9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00" w:type="dxa"/>
            </w:tcMar>
          </w:tcPr>
          <w:p w:rsidR="00A84B98" w:rsidRDefault="006F669D">
            <w:r>
              <w:rPr>
                <w:rFonts w:eastAsia="Arial"/>
                <w:b/>
                <w:bCs/>
                <w:color w:val="1F4E79"/>
                <w:sz w:val="21"/>
                <w:szCs w:val="21"/>
              </w:rPr>
              <w:t>Reference Docs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A84B98" w:rsidRDefault="006F669D">
            <w:r>
              <w:rPr>
                <w:rFonts w:eastAsia="Arial"/>
                <w:sz w:val="21"/>
                <w:szCs w:val="21"/>
              </w:rPr>
              <w:t>WP #02, #03, #22 · Velsanet Architecture Compendium v1.0 (2026)</w:t>
            </w:r>
          </w:p>
        </w:tc>
      </w:tr>
    </w:tbl>
    <w:p w:rsidR="00A84B98" w:rsidRDefault="00A84B98">
      <w:pPr>
        <w:spacing w:after="60"/>
      </w:pPr>
    </w:p>
    <w:p w:rsidR="00A84B98" w:rsidRDefault="00A84B98">
      <w:pPr>
        <w:pBdr>
          <w:bottom w:val="single" w:sz="6" w:space="0" w:color="2E75B6"/>
        </w:pBdr>
      </w:pPr>
    </w:p>
    <w:p w:rsidR="00A84B98" w:rsidRDefault="006F669D" w:rsidP="00DC6872">
      <w:pPr>
        <w:ind w:firstLineChars="600" w:firstLine="1080"/>
      </w:pPr>
      <w:r>
        <w:rPr>
          <w:rFonts w:eastAsia="Arial"/>
          <w:color w:val="888888"/>
          <w:sz w:val="18"/>
          <w:szCs w:val="18"/>
        </w:rPr>
        <w:t>Velsanet Architecture Group  ·  Velsanet Research Institute (Proposed)  ·  Republic of Korea</w:t>
      </w:r>
    </w:p>
    <w:p w:rsidR="00A84B98" w:rsidRDefault="006F669D">
      <w:pPr>
        <w:jc w:val="center"/>
      </w:pPr>
      <w:r>
        <w:rPr>
          <w:rFonts w:eastAsia="Arial"/>
          <w:color w:val="AAAAAA"/>
          <w:sz w:val="18"/>
          <w:szCs w:val="18"/>
        </w:rPr>
        <w:t>github.com/joa337/velsanet-whitepapers  ·  2026</w:t>
      </w:r>
    </w:p>
    <w:sectPr w:rsidR="00A84B98">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669D" w:rsidRDefault="006F669D">
      <w:r>
        <w:separator/>
      </w:r>
    </w:p>
  </w:endnote>
  <w:endnote w:type="continuationSeparator" w:id="0">
    <w:p w:rsidR="006F669D" w:rsidRDefault="006F6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B98" w:rsidRDefault="006F669D">
    <w:pPr>
      <w:pBdr>
        <w:top w:val="single" w:sz="4" w:space="4" w:color="2E75B6"/>
      </w:pBdr>
      <w:tabs>
        <w:tab w:val="right" w:pos="9360"/>
      </w:tabs>
      <w:spacing w:before="60"/>
    </w:pPr>
    <w:r>
      <w:rPr>
        <w:rFonts w:eastAsia="Arial"/>
        <w:color w:val="888888"/>
        <w:sz w:val="18"/>
        <w:szCs w:val="18"/>
      </w:rPr>
      <w:t>Velsanet Architecture Group  ·  Structure-Native 6G RU Design</w:t>
    </w:r>
    <w:r>
      <w:rPr>
        <w:rFonts w:eastAsia="Arial"/>
        <w:sz w:val="18"/>
        <w:szCs w:val="18"/>
      </w:rPr>
      <w:tab/>
    </w:r>
    <w:r>
      <w:rPr>
        <w:color w:val="888888"/>
        <w:sz w:val="18"/>
        <w:szCs w:val="18"/>
      </w:rPr>
      <w:fldChar w:fldCharType="begin"/>
    </w:r>
    <w:r>
      <w:rPr>
        <w:rFonts w:eastAsia="Arial"/>
        <w:color w:val="888888"/>
        <w:sz w:val="18"/>
        <w:szCs w:val="18"/>
      </w:rPr>
      <w:instrText>PAGE</w:instrText>
    </w:r>
    <w:r w:rsidR="00DC6872">
      <w:rPr>
        <w:color w:val="888888"/>
        <w:sz w:val="18"/>
        <w:szCs w:val="18"/>
      </w:rPr>
      <w:fldChar w:fldCharType="separate"/>
    </w:r>
    <w:r w:rsidR="00DC6872">
      <w:rPr>
        <w:rFonts w:eastAsia="Arial"/>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669D" w:rsidRDefault="006F669D">
      <w:r>
        <w:separator/>
      </w:r>
    </w:p>
  </w:footnote>
  <w:footnote w:type="continuationSeparator" w:id="0">
    <w:p w:rsidR="006F669D" w:rsidRDefault="006F66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B98" w:rsidRDefault="006F669D">
    <w:pPr>
      <w:pBdr>
        <w:bottom w:val="single" w:sz="4" w:space="4" w:color="2E75B6"/>
      </w:pBdr>
      <w:spacing w:after="60"/>
    </w:pPr>
    <w:r>
      <w:rPr>
        <w:rFonts w:eastAsia="Arial"/>
        <w:color w:val="888888"/>
        <w:sz w:val="18"/>
        <w:szCs w:val="18"/>
      </w:rPr>
      <w:t>VELSANET  |  White Paper #23</w:t>
    </w:r>
    <w:r>
      <w:rPr>
        <w:rFonts w:eastAsia="Arial"/>
        <w:color w:val="AAAAAA"/>
        <w:sz w:val="18"/>
        <w:szCs w:val="18"/>
      </w:rPr>
      <w:t xml:space="preserve">    Velsanet-RU-STR-2026-03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B3BF2"/>
    <w:multiLevelType w:val="hybridMultilevel"/>
    <w:tmpl w:val="EC681600"/>
    <w:lvl w:ilvl="0" w:tplc="4288BE2E">
      <w:start w:val="1"/>
      <w:numFmt w:val="bullet"/>
      <w:lvlText w:val="●"/>
      <w:lvlJc w:val="left"/>
      <w:pPr>
        <w:ind w:left="720" w:hanging="360"/>
      </w:pPr>
    </w:lvl>
    <w:lvl w:ilvl="1" w:tplc="A2CE4134">
      <w:start w:val="1"/>
      <w:numFmt w:val="bullet"/>
      <w:lvlText w:val="○"/>
      <w:lvlJc w:val="left"/>
      <w:pPr>
        <w:ind w:left="1440" w:hanging="360"/>
      </w:pPr>
    </w:lvl>
    <w:lvl w:ilvl="2" w:tplc="D1DC6EAA">
      <w:start w:val="1"/>
      <w:numFmt w:val="bullet"/>
      <w:lvlText w:val="■"/>
      <w:lvlJc w:val="left"/>
      <w:pPr>
        <w:ind w:left="2160" w:hanging="360"/>
      </w:pPr>
    </w:lvl>
    <w:lvl w:ilvl="3" w:tplc="0D4C9824">
      <w:start w:val="1"/>
      <w:numFmt w:val="bullet"/>
      <w:lvlText w:val="●"/>
      <w:lvlJc w:val="left"/>
      <w:pPr>
        <w:ind w:left="2880" w:hanging="360"/>
      </w:pPr>
    </w:lvl>
    <w:lvl w:ilvl="4" w:tplc="2954E1E8">
      <w:start w:val="1"/>
      <w:numFmt w:val="bullet"/>
      <w:lvlText w:val="○"/>
      <w:lvlJc w:val="left"/>
      <w:pPr>
        <w:ind w:left="3600" w:hanging="360"/>
      </w:pPr>
    </w:lvl>
    <w:lvl w:ilvl="5" w:tplc="02467B0A">
      <w:start w:val="1"/>
      <w:numFmt w:val="bullet"/>
      <w:lvlText w:val="■"/>
      <w:lvlJc w:val="left"/>
      <w:pPr>
        <w:ind w:left="4320" w:hanging="360"/>
      </w:pPr>
    </w:lvl>
    <w:lvl w:ilvl="6" w:tplc="97FC44F6">
      <w:start w:val="1"/>
      <w:numFmt w:val="bullet"/>
      <w:lvlText w:val="●"/>
      <w:lvlJc w:val="left"/>
      <w:pPr>
        <w:ind w:left="5040" w:hanging="360"/>
      </w:pPr>
    </w:lvl>
    <w:lvl w:ilvl="7" w:tplc="EC0AF87A">
      <w:start w:val="1"/>
      <w:numFmt w:val="bullet"/>
      <w:lvlText w:val="●"/>
      <w:lvlJc w:val="left"/>
      <w:pPr>
        <w:ind w:left="5760" w:hanging="360"/>
      </w:pPr>
    </w:lvl>
    <w:lvl w:ilvl="8" w:tplc="F24ACB16">
      <w:start w:val="1"/>
      <w:numFmt w:val="bullet"/>
      <w:lvlText w:val="●"/>
      <w:lvlJc w:val="left"/>
      <w:pPr>
        <w:ind w:left="6480" w:hanging="360"/>
      </w:pPr>
    </w:lvl>
  </w:abstractNum>
  <w:abstractNum w:abstractNumId="1" w15:restartNumberingAfterBreak="0">
    <w:nsid w:val="3F554F72"/>
    <w:multiLevelType w:val="hybridMultilevel"/>
    <w:tmpl w:val="F68AC7AA"/>
    <w:lvl w:ilvl="0" w:tplc="791CC6A8">
      <w:start w:val="1"/>
      <w:numFmt w:val="bullet"/>
      <w:lvlText w:val="•"/>
      <w:lvlJc w:val="left"/>
      <w:pPr>
        <w:ind w:left="640" w:hanging="320"/>
      </w:pPr>
    </w:lvl>
    <w:lvl w:ilvl="1" w:tplc="A9F48E9E">
      <w:numFmt w:val="decimal"/>
      <w:lvlText w:val=""/>
      <w:lvlJc w:val="left"/>
    </w:lvl>
    <w:lvl w:ilvl="2" w:tplc="DD0E0F38">
      <w:numFmt w:val="decimal"/>
      <w:lvlText w:val=""/>
      <w:lvlJc w:val="left"/>
    </w:lvl>
    <w:lvl w:ilvl="3" w:tplc="1358673C">
      <w:numFmt w:val="decimal"/>
      <w:lvlText w:val=""/>
      <w:lvlJc w:val="left"/>
    </w:lvl>
    <w:lvl w:ilvl="4" w:tplc="E3C4725A">
      <w:numFmt w:val="decimal"/>
      <w:lvlText w:val=""/>
      <w:lvlJc w:val="left"/>
    </w:lvl>
    <w:lvl w:ilvl="5" w:tplc="899ED5AE">
      <w:numFmt w:val="decimal"/>
      <w:lvlText w:val=""/>
      <w:lvlJc w:val="left"/>
    </w:lvl>
    <w:lvl w:ilvl="6" w:tplc="2D52F47E">
      <w:numFmt w:val="decimal"/>
      <w:lvlText w:val=""/>
      <w:lvlJc w:val="left"/>
    </w:lvl>
    <w:lvl w:ilvl="7" w:tplc="0AA49D80">
      <w:numFmt w:val="decimal"/>
      <w:lvlText w:val=""/>
      <w:lvlJc w:val="left"/>
    </w:lvl>
    <w:lvl w:ilvl="8" w:tplc="D7A435A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B98"/>
    <w:rsid w:val="006F669D"/>
    <w:rsid w:val="00A84B98"/>
    <w:rsid w:val="00DC68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89BB"/>
  <w15:docId w15:val="{7ABAB44B-E014-4733-8187-8BD3259A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spacing w:before="280" w:after="120"/>
      <w:outlineLvl w:val="0"/>
    </w:pPr>
    <w:rPr>
      <w:rFonts w:eastAsia="Arial"/>
      <w:b/>
      <w:bCs/>
      <w:color w:val="1F4E79"/>
      <w:sz w:val="28"/>
      <w:szCs w:val="28"/>
    </w:rPr>
  </w:style>
  <w:style w:type="paragraph" w:styleId="2">
    <w:name w:val="heading 2"/>
    <w:qFormat/>
    <w:pPr>
      <w:spacing w:before="200" w:after="80"/>
      <w:outlineLvl w:val="1"/>
    </w:pPr>
    <w:rPr>
      <w:rFonts w:eastAsia="Arial"/>
      <w:b/>
      <w:bCs/>
      <w:color w:val="2E75B6"/>
      <w:sz w:val="24"/>
      <w:szCs w:val="24"/>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2620</Words>
  <Characters>14938</Characters>
  <Application>Microsoft Office Word</Application>
  <DocSecurity>0</DocSecurity>
  <Lines>124</Lines>
  <Paragraphs>35</Paragraphs>
  <ScaleCrop>false</ScaleCrop>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Master</cp:lastModifiedBy>
  <cp:revision>2</cp:revision>
  <dcterms:created xsi:type="dcterms:W3CDTF">2026-03-07T20:11:00Z</dcterms:created>
  <dcterms:modified xsi:type="dcterms:W3CDTF">2026-03-07T21:34:00Z</dcterms:modified>
</cp:coreProperties>
</file>