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VELSANET ARCHITECTURE GROUP  |  TECHNICAL DESIGN DOCUMENT</w:t>
      </w:r>
    </w:p>
    <w:p>
      <w:pPr>
        <w:spacing w:after="160"/>
      </w:pPr>
      <w:r>
        <w:rPr>
          <w:b/>
          <w:bCs/>
          <w:i w:val="false"/>
          <w:iCs w:val="false"/>
          <w:sz w:val="28"/>
          <w:szCs w:val="28"/>
        </w:rPr>
        <w:t xml:space="preserve">WP#32 — PCB Layout Design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Board-Level Component Placement · High-Speed Trace Routing · Thermal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21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Draft — §3, §4, §5, §6, §7 drafted (§3/§6: Option A, this session); QSFP-DD flagged as bring-up-stage only per WP#31 OI-31-11 (OI-32-08)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v0.7 │ 2026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 equipment PCB-level design: board-level component placement, high-speed (800G PAM4) trace routing, Data Path / Control Path physical separation, thermal design — distinct from WP#31's schematic (component-connection) level and WP#30's die-level layout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Extends WP#24 §7/Figure 7-1 (Dedicated Equipment card PCB layout — different scale, not superseded); WP#31 (this document's schematic input); WP#30 §7 (die-level layout, different scale); WP#29 §10.3 (thermal design strategy); scope fixed at WP#29 R7 (Table 2-1/12-1)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Republic of Korea | Velsanet Architecture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 note</w:t>
            </w:r>
          </w:p>
        </w:tc>
      </w:tr>
      <w:tr>
        <w:tc>
          <w:tcPr>
            <w:tcW w:type="dxa" w:w="9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document is a skeleton, per 창호's stated method (WP#30/WP#31 pattern): section scopes and open items fixed now; actual placement/routing/thermal detail filled in section by section in later sessions, grounded in prior documents rather than invented. No dimension, layer count, or trace-width value is invented in this draft.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</w:rPr>
        <w:t xml:space="preserve">1. Purpose and Scope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WP#32 is the PCB-level design document for Velsanet network equipment (O8/D12/I20 nodes), realizing WP#31's schematic (component selection and connections) as an actual board layout. It was proposed at WP#29 §12 (Table 12-1) and its scope was fixed at WP#29 R7: board-level component placement and trace routing — explicitly distinct from WP#30's die-level (semiconductor) layout, and from WP#24 §7/Figure 7-1's Dedicated Equipment card layout, which this document does not redesign but treats as a fixed sub-assembly to be placed on the node-equipment board.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New decision, per 창호 this session — Option A (shared FPGA/ASIC footprint): </w:t>
      </w:r>
      <w:r>
        <w:rPr>
          <w:sz w:val="22"/>
          <w:szCs w:val="22"/>
        </w:rPr>
        <w:t xml:space="preserve">this document assumes the 16nm-class ASIC target (WP#30 Table 7-1a, Phase 1) and adopts, as a new PCB-level design decision, a single PCB footprint shared between the VU19P FPGA (prototype stage) and the future 16nm-class ASIC (production stage), pin-compatible so one board design supports both stages. This is a genuinely new decision made this session, not previously established — pin-level compatibility with an as-yet-unselected ASIC (foundry still open, WP#30 OI-30-17) is an assumption to be verified once a specific ASIC pinout exists, not a confirmed fact.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New, per 창호 this session — Master/Standby PCB variant: </w:t>
      </w:r>
      <w:r>
        <w:rPr>
          <w:sz w:val="22"/>
          <w:szCs w:val="22"/>
        </w:rPr>
        <w:t xml:space="preserve">per WP#29 R10 (§10.7.10) and WP#31 §1's corresponding BOM-variant note (OI-31-10), a Master/Standby-designated node's PCB does not populate the Dedicated Equipment (PAI/EAI) sub-assembly connector/slot. Whether this is a fully separate board variant or a populate/no-populate option on one board layout follows WP#31 OI-31-10's still-open decision — this document does not resolve that mechanism independently.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Scope includes: board component placement (Section 3); high-speed (800G PAM4) trace routing rules (Section 4); Data Path / Control Path physical separation at the board level, realizing WP#31 §3.3's connectivity classes (Section 5); thermal design (Section 6); and layer stack-up (Section 7).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Out of scope: schematic-level component selection (WP#31, unchanged here); die-level semiconductor layout (WP#30 §7, unchanged here); the Dedicated Equipment card's own internal PCB layout (WP#24 §7/Figure 7-1, unchanged here — treated as a fixed input sub-assembly); integration test planning (WP#33).</w:t>
      </w:r>
    </w:p>
    <w:p>
      <w:pPr>
        <w:pStyle w:val="Heading1"/>
        <w:spacing w:after="160" w:before="280"/>
      </w:pPr>
      <w:r>
        <w:rPr>
          <w:b/>
          <w:bCs/>
        </w:rPr>
        <w:t xml:space="preserve">2. Positioning in the Document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 No.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Core Content</w:t>
            </w:r>
          </w:p>
        </w:tc>
        <w:tc>
          <w:tcPr>
            <w:tcW w:type="dxa" w:w="15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#24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Cognition Cube Physical Spec (HBM/HBF)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WORM register map, HBF ACL bit fields, electrical interfaces, Dedicated Equipment card PCB layout (Figure 7-1)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Dedicated Equipment FPGA/ASIC Design Guide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SEU1/SEU2 RTL engine templates, FPGA→ASIC migration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— 12 open items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#29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Equipment SAD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O8/D12/I20 block architecture, placement, Core Stack negotiation, O8 operational architecture, NPU-Matrix execution model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— v1.8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Equipment RTL &amp; Physical Design (Switching/Routing)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Matrix switching/routing RTL, register interfaces, semiconductor physical implementation (die-level)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sections drafted — v1.1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#31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Schematic &amp; BOM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block diagram, component selection, power/clock distribution, 800G interface, BOM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 — v0.5, §3/§6/§7 drafted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#32 (this document)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PCB Layout Design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Board-level component placement, high-speed trace routing, thermal design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 — v0.5, §3/§4/§5/§6/§7 drafted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#33 (proposed)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Test Plan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Node-to-node connectivity, fault recovery, performance testing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Proposed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2-1. Document Sequence — Updated at WP#32 (skeleton)</w:t>
      </w:r>
    </w:p>
    <w:p>
      <w:pPr>
        <w:pStyle w:val="Heading1"/>
        <w:spacing w:after="160" w:before="280"/>
      </w:pPr>
      <w:r>
        <w:rPr>
          <w:b/>
          <w:bCs/>
        </w:rPr>
        <w:t xml:space="preserve">3. Board Component Placement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Physical placement of the components confirmed in WP#31 §4/§8 onto the node-equipment board, including where the Dedicated Equipment card(s) (WP#24 §7/Figure 7-1, fixed sub-assembly) sit relative to the Matrix Switch Fabric, MONITOR_CH, and NPU blocks (WP#31 §3.2).</w:t>
      </w:r>
    </w:p>
    <w:p>
      <w:pPr>
        <w:pStyle w:val="Heading2"/>
        <w:spacing w:after="160" w:before="280"/>
      </w:pPr>
      <w:r>
        <w:rPr>
          <w:b/>
          <w:bCs/>
        </w:rPr>
        <w:t xml:space="preserve">3.1 Placement Strategy: Option A (Shared Footprint)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 창호's decision (§1), the PCB accepts either device: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53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VU19P FPGA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Prototype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GTM-class 58Gbps SerDes, 0.85V VCCINT, ≈225W total envelope (WP#31 §5.1a)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16nm-class ASIC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Pin-compatible footprint (this decision), estimated 110–155W (WP#30 §7.2), foundry/part TBD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3-0. Shared Footprint — Two Device Stages, One PCB</w:t>
      </w:r>
    </w:p>
    <w:p>
      <w:pPr>
        <w:pStyle w:val="Heading2"/>
        <w:spacing w:after="160" w:before="280"/>
      </w:pPr>
      <w:r>
        <w:rPr>
          <w:b/>
          <w:bCs/>
        </w:rPr>
        <w:t xml:space="preserve">3.1.1 Pin Compatibility Requirements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Option A to succeed, the ASIC pinout must be a superset or functional subset of the VU19P pinout at the PCB connection level: SerDes lanes (800G PAM4, QSFP-DD-facing) must share the same lane-to-pin mapping on both devices; power/ground pins (VCCINT, VCCAUX, MGTYAVCC/MGTYAVTT/AVAUX, VCCO, DDR_VTT — WP#31 Table 5-1) must map to the same or compatible positions; control interface pins (MONITOR_CH's monitor_control_word[31:0], PMBus, PCIe, configuration) must share pin assignments; and VU19P pins the ASIC does not implement must be left No-Connect, with PCB pads present-but-unpopulated or tied appropriately.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Open — OI-32-06: </w:t>
      </w:r>
      <w:r>
        <w:rPr>
          <w:i/>
          <w:iCs/>
          <w:sz w:val="22"/>
          <w:szCs w:val="22"/>
        </w:rPr>
        <w:t xml:space="preserve">VU19P-to-ASIC pin compatibility is not yet verified against any specific ASIC pinout, since foundry/part selection remains open (WP#30 OI-30-17). This section assumes compatibility is achievable; verification is deferred until a specific ASIC pinout exists.</w:t>
      </w:r>
    </w:p>
    <w:p>
      <w:pPr>
        <w:pStyle w:val="Heading2"/>
        <w:spacing w:after="160" w:before="280"/>
      </w:pPr>
      <w:r>
        <w:rPr>
          <w:b/>
          <w:bCs/>
        </w:rPr>
        <w:t xml:space="preserve">3.1.2 Placement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Components</w:t>
            </w:r>
          </w:p>
        </w:tc>
        <w:tc>
          <w:tcPr>
            <w:tcW w:type="dxa" w:w="33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A — FPGA/ASIC (core)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VU19P or 16nm ASIC (shared footprint)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 placement for shortest SerDes trace lengths to QSFP-DD connectors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B — PMIC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MPM3695-100 ×2, MPM3695-25, MPM3695-10, MPM3632C, MPM3650, MP20075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Adjacent to core device to minimize IR drop on VCCINT (up to 200A). Layer assignment for high-current vias kept separate from Option A's shared-footprint signal lines (see note below) — this is the most common Option A layout fault, addressed proactively rather than left for later debug.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C — Memory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DDR4 SO-DIMM ×4 (per VU19P precedent, WP#31 §4)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Near the FPGA/ASIC, following DDR4 layout rules (fly-by topology, VTT termination at far end)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D — 800G Optical Interface (bring-up/verification stage only, see WP#31 OI-31-11)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QSFP-DD connectors (count TBD, pending WP#31 §3 signal flow, OI-31-01)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Placed along one board edge for optical cable access; production board will terminate the MOCT ribbon here instead once WP#31 OI-31-11 is resolved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E — Host/Control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PCIe edge connector (Gen3/Gen4)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Opposite edge from optical connectors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3-1. Component Placement Zones — Option A, confirmed per 창호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Zone B layer-assignment note, per 창호: </w:t>
      </w:r>
      <w:r>
        <w:rPr>
          <w:sz w:val="22"/>
          <w:szCs w:val="22"/>
        </w:rPr>
        <w:t xml:space="preserve">high-current rail vias must be assigned to layers separate from the shared footprint's inner signal lines. VCCINT (MPM3695-100 ×2, up to 100A/rail) power vias are placed on internal layers (e.g. Layer 3/4), while signal lines are assigned to outer or non-adjacent layers (e.g. Layer 1/6), preventing physical interference and electrical coupling. This pre-empts the most common Option A layout fault — a high-current via breaking a signal line's reference plane, or a signal line blocking a power via's current path.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[상세 미정 — 차후 세션에서 확정] Exact component coordinates, keep-out zones, and mechanical constraints (board outline, mounting holes) depend on the chassis/rack design (WP#29 OI-29-05, OI-29-07), still open.</w:t>
      </w:r>
    </w:p>
    <w:p>
      <w:pPr>
        <w:pStyle w:val="Heading1"/>
        <w:spacing w:after="160" w:before="280"/>
      </w:pPr>
      <w:r>
        <w:rPr>
          <w:b/>
          <w:bCs/>
        </w:rPr>
        <w:t xml:space="preserve">4. High-Speed Trace Routing Rules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800G PAM4 Data Path (WP#31 §3.3) shall be routed according to high-speed PCB design rules to ensure signal integrity at 800Gbps/core (WP#26 §7.1).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 xml:space="preserve">the values below are industry-standard conventions for 800G-class PAM4 SerDes, not yet confirmed as Velsanet-specific requirements. Presented as a reference starting point per 창호's instruction, tracked under OI-32-02.</w:t>
      </w:r>
    </w:p>
    <w:p>
      <w:pPr>
        <w:pStyle w:val="Heading2"/>
        <w:spacing w:after="160" w:before="280"/>
      </w:pPr>
      <w:r>
        <w:rPr>
          <w:b/>
          <w:bCs/>
        </w:rPr>
        <w:t xml:space="preserve">4.1 Controlled Impedance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Differential pair impedance: targeted at 100Ω ± 10% (industry standard for 800G PAM4 SerDes). Single-ended impedance: targeted at 50Ω ± 10% for reference.</w:t>
      </w:r>
    </w:p>
    <w:p>
      <w:pPr>
        <w:pStyle w:val="Heading2"/>
        <w:spacing w:after="160" w:before="280"/>
      </w:pPr>
      <w:r>
        <w:rPr>
          <w:b/>
          <w:bCs/>
        </w:rPr>
        <w:t xml:space="preserve">4.2 Differential Pair Spacing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Intra-pair spacing: determined by the chosen dielectric material and stack-up (§7). Inter-pair spacing: ≥3× the intra-pair spacing to minimize crosstalk.</w:t>
      </w:r>
    </w:p>
    <w:p>
      <w:pPr>
        <w:pStyle w:val="Heading2"/>
        <w:spacing w:after="160" w:before="280"/>
      </w:pPr>
      <w:r>
        <w:rPr>
          <w:b/>
          <w:bCs/>
        </w:rPr>
        <w:t xml:space="preserve">4.3 Length Matching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Intra-pair length mismatch: ≤0.5ps (≈0.08mm in typical PCB materials) — an industry-standard guideline for 800G-class SerDes interfaces, not a Velsanet-specific requirement.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Inter-pair (lane-to-lane) skew: ≤5ps is a typical industry target for 800G PAM4 implementations, but it is not yet confirmed as a Velsanet requirement. Once OI-30-16 (Matrix switching latency budget, WP#30 §8.3) is resolved, the inter-pair skew target shall be re-evaluated against that budget — the 5ps value is a reference starting point, not a value derived from OI-30-16, which itself has no fixed figure yet.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Open — OI-32-02: </w:t>
      </w:r>
      <w:r>
        <w:rPr>
          <w:i/>
          <w:iCs/>
          <w:sz w:val="22"/>
          <w:szCs w:val="22"/>
        </w:rPr>
        <w:t xml:space="preserve">Impedance targets (100Ω/50Ω), differential-pair spacing, and length-matching tolerances (0.5ps intra-pair, 5ps inter-pair) are industry-standard reference values, not yet confirmed as Velsanet-specific requirements by 창호. The inter-pair skew figure additionally requires re-evaluation once WP#30 OI-30-16 (Matrix switching latency budget) is resolved.</w:t>
      </w:r>
    </w:p>
    <w:p>
      <w:pPr>
        <w:pStyle w:val="Heading1"/>
        <w:spacing w:after="160" w:before="280"/>
      </w:pPr>
      <w:r>
        <w:rPr>
          <w:b/>
          <w:bCs/>
        </w:rPr>
        <w:t xml:space="preserve">5. Data Path / Control Path Physical Separation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Board-level realization of WP#31 §3.3's Data Path vs. Control Path classes, reusing the isolation technique already established at the Dedicated Equipment card level (WP#24 Figure 7-1: CH11 "isolation slot — no shared trace") rather than inventing a new technique.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45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Application to Data/Control Path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Precedent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Isolation slot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routed keep-out gap in the board substrate between the Data Path (800G PAM4) region and the Control Path (MONITOR_CH/NPU bus) region, preventing any shared copper or via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WP#24 Figure 7-1's CH11 Relay Island — same technique, different signal class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 separation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Path high-speed differential pairs routed on dedicated internal layers, separate from Control Path's lower-speed single-ended/bus signals, reducing the chance of layer-adjacency coupling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multi-layer PCB practice; not previously specified in a Velsanet document, proposed here as a complement to the isolation slot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 traces / ground stitching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Grounded guard traces or via-stitched ground planes along the isolation slot boundary, to absorb any residual coupling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EMI-mitigation practice; not previously specified in a Velsanet document, proposed here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5-1. Data/Control Path Separation Techniques — isolation slot per WP#24 precedent; layer separation and guard traces proposed as standard-practice complements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Consistent with WP#31 §3.3's rationale (signal integrity, fault isolation): the isolation slot prevents a Data Path fault or noise event from coupling onto the Control Path that carries MONITOR_CH's self-healing signaling (WP#29 §10.7.2) — the same logic that motivated CH11's isolation at the Dedicated Equipment level, applied here to the Matrix/NPU control path instead of a safety relay.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Open — OI-32-03: </w:t>
      </w:r>
      <w:r>
        <w:rPr>
          <w:i/>
          <w:iCs/>
          <w:sz w:val="22"/>
          <w:szCs w:val="22"/>
        </w:rPr>
        <w:t xml:space="preserve">(Narrowed) The isolation-slot technique itself is confirmed (reused from WP#24 CH11 precedent). Layer separation and guard-trace/ground-stitching are proposed as standard-practice complements but not yet confirmed by 창호. Exact slot width, guard-trace spacing, and which specific layers carry which path remain undetermined.</w:t>
      </w:r>
    </w:p>
    <w:p>
      <w:pPr>
        <w:pStyle w:val="Heading1"/>
        <w:spacing w:after="160" w:before="280"/>
      </w:pPr>
      <w:r>
        <w:rPr>
          <w:b/>
          <w:bCs/>
        </w:rPr>
        <w:t xml:space="preserve">6. Thermal Design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Board-level thermal design, following WP#29 §10.3's strategy (heat-pipe general diffusion + liquid cooling for high-performance optical cores/processors, per Velsanet Architecture Compendium §6.1), now quantified against WP#30 §7.2's power estimate and WP#31 §5.1a's PMIC data.</w:t>
      </w:r>
    </w:p>
    <w:p>
      <w:pPr>
        <w:pStyle w:val="Heading2"/>
        <w:spacing w:after="160" w:before="280"/>
      </w:pPr>
      <w:r>
        <w:rPr>
          <w:b/>
          <w:bCs/>
        </w:rPr>
        <w:t xml:space="preserve">6.1 Power Dissipation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Power Draw</w:t>
            </w:r>
          </w:p>
        </w:tc>
        <w:tc>
          <w:tcPr>
            <w:tcW w:type="dxa" w:w="35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FPGA/ASIC (core device)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VU19P: ≈225W (FPGA envelope); ASIC: 110–155W (estimated, not synthesis-derived)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WP#30 §7.2 / WP#31 §5.1a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PMIC (all rails)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≈10–15W (estimated, per MPS reference data)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DC/DC conversion losses at full load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(DDR4 ×4)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≈5–10W (estimated, per JEDEC reference)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SO-DIMM ~1.5–2.5W typical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800G transceivers (4× QSFP-DD, bring-up stage only)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≈10–15W total (estimated)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QSFP-DD module ~3–4W typical; production MOCT-native interface power TBD (WP#31 OI-31-11)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(FPGA stage)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≈250–265W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Upper bound for thermal design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(ASIC stage)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≈135–195W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bound; PMIC overhead roughly constant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6-1. Power Dissipation Summary (order-of-magnitude estimates) — based on WP#30 §7.2 and WP#31 §5.1a, confirmed per 창호</w:t>
      </w:r>
    </w:p>
    <w:p>
      <w:pPr>
        <w:pStyle w:val="Heading2"/>
        <w:spacing w:after="160" w:before="280"/>
      </w:pPr>
      <w:r>
        <w:rPr>
          <w:b/>
          <w:bCs/>
        </w:rPr>
        <w:t xml:space="preserve">6.2 Thermal Budget and Junction Temperature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Assuming T_ambient = 40°C (typical data center / E2E center environment, WP#27/WP#28 deployment contexts) and target T_junction ≤ 85°C for reliability margin, required package-to-ambient thermal resistance: FPGA stage (225W) → Θ_JA ≤ (85−40)/225 ≈ 0.20°C/W; ASIC stage (155W worst-case) → Θ_JA ≤ (85−40)/155 ≈ 0.29°C/W. Since bare-PCB natural convection typically provides only 10–20°C/W, active cooling is required in all cases.</w:t>
      </w:r>
    </w:p>
    <w:p>
      <w:pPr>
        <w:pStyle w:val="Heading2"/>
        <w:spacing w:after="160" w:before="280"/>
      </w:pPr>
      <w:r>
        <w:rPr>
          <w:b/>
          <w:bCs/>
        </w:rPr>
        <w:t xml:space="preserve">6.3 Cooling Solution 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Θ_JA Achievable</w:t>
            </w:r>
          </w:p>
        </w:tc>
        <w:tc>
          <w:tcPr>
            <w:tcW w:type="dxa" w:w="45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Pros / Cons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Aluminum heat-sink + forced convection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≈2–5°C/W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Passive, silent; may be large/heavy; requires chassis airflow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Heat-sink + axial fan (active air cooling)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≈0.5–1.5°C/W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Compact; added cost, noise, fan MTBF reliability concern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Vapor chamber / heat pipe + fan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≈0.3–0.8°C/W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performance; more expensive, complex assembly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Liquid cooling (cold plate)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≈0.1–0.3°C/W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 performance; high cost/plumbing complexity — overkill for 225W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6-2. Cooling Solution Candidates — draft, not final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Given the power range (135–265W total system power), an active heat-sink + axial fan or vapor-chamber heat-sink + fan appears most appropriate for a standard 1U/2U chassis form factor. Liquid cooling is not recommended given the power level and the current program stage.</w:t>
      </w:r>
    </w:p>
    <w:p>
      <w:pPr>
        <w:pStyle w:val="Heading2"/>
        <w:spacing w:after="160" w:before="280"/>
      </w:pPr>
      <w:r>
        <w:rPr>
          <w:b/>
          <w:bCs/>
        </w:rPr>
        <w:t xml:space="preserve">6.4 Thermal Interface Material (TIM)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high-performance TIM (thermal grease, phase-change pad, or graphite sheet) between the FPGA/ASIC package and the heat-sink is required. Typical Θ_TIM ≈ 0.1–0.3°C/W depending on thickness and conductivity.</w:t>
      </w:r>
    </w:p>
    <w:p>
      <w:pPr>
        <w:pStyle w:val="Heading2"/>
        <w:spacing w:after="160" w:before="280"/>
      </w:pPr>
      <w:r>
        <w:rPr>
          <w:b/>
          <w:bCs/>
        </w:rPr>
        <w:t xml:space="preserve">6.5 PMIC Thermal Considerations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VCCINT PMIC (MPM3695-100 ×2, up to 100A each) dissipates approximately 5–8W total at full load. These devices require adequate copper pour for heat spreading, thermal vias to internal/backside copper layers, and airflow shared with the FPGA/ASIC cooling solution. Control-path PMIC rails (lower current, lower loss) do not require dedicated heat-sinks but should still have adequate PCB copper area for heat spreading per the MPS reference design.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PMIC thermal noise and sense-line isolation, per 창호: </w:t>
      </w:r>
      <w:r>
        <w:rPr>
          <w:sz w:val="22"/>
          <w:szCs w:val="22"/>
        </w:rPr>
        <w:t xml:space="preserve">PMIC heat generates thermally induced noise that can affect VCCINT's remote-sense line DC accuracy. The copper pattern from PMIC output to the VCCINT sense line is routed thermally isolated from the PMIC's hot region: (1) the sense line routes around the PMIC body's heat zone, and (2) a thermal relief slot or thermally isolated copper island surrounds the PMIC so package temperature does not affect sense-line DC precision. This is necessary to maintain the high-current (200A) VCCINT rail's voltage precision (typically ±1–2%), and is applied as a general design principle given that Option A's two silicon options (VU19P vs. ASIC) may have different sense-line requirements.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Open — OI-32-04: </w:t>
      </w:r>
      <w:r>
        <w:rPr>
          <w:i/>
          <w:iCs/>
          <w:sz w:val="22"/>
          <w:szCs w:val="22"/>
        </w:rPr>
        <w:t xml:space="preserve">Final cooling solution selection (heat-sink part number, fan specification, TIM selection) is not yet made — depends on final ASIC power (once synthesis-derived, WP#31 OI-31-09) and chassis mechanical design (WP#29 OI-29-05, OI-29-07).</w:t>
      </w:r>
    </w:p>
    <w:p>
      <w:pPr>
        <w:pStyle w:val="Heading1"/>
        <w:spacing w:after="160" w:before="280"/>
      </w:pPr>
      <w:r>
        <w:rPr>
          <w:b/>
          <w:bCs/>
        </w:rPr>
        <w:t xml:space="preserve">7. Layer Stack-Up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PCB layer count and stack-up, sized to carry both the high-speed Data Path layers and the lower-speed Control Path layers (WP#31 §3.3) without cross-coupling.</w:t>
      </w:r>
    </w:p>
    <w:p>
      <w:pPr>
        <w:pStyle w:val="Heading2"/>
        <w:spacing w:after="160" w:before="280"/>
      </w:pPr>
      <w:r>
        <w:rPr>
          <w:b/>
          <w:bCs/>
        </w:rPr>
        <w:t xml:space="preserve">7.1 Layer Count and Stripline Structure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16-layer stack-up is a reasonable starting point for 800G PAM4 designs. The critical structural strategy is to route high-speed signal layers as stripline — embedded between solid ground planes — rather than microstrip. This provides inherent shielding from external noise and physically reinforces the Data/Control Path separation defined in §5, preventing coupling into the MONITOR_CH/NPU control bus without relying solely on keep-out gaps.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Open — OI-32-05a: </w:t>
      </w:r>
      <w:r>
        <w:rPr>
          <w:i/>
          <w:iCs/>
          <w:sz w:val="22"/>
          <w:szCs w:val="22"/>
        </w:rPr>
        <w:t xml:space="preserve">(Confirmation needed) Exact layer assignment (e.g. which layers are dedicated to 800G PAM4 vs. control vs. power) is pending component placement (§3) and will be drafted once OI-32-01 is resolved.</w:t>
      </w:r>
    </w:p>
    <w:p>
      <w:pPr>
        <w:pStyle w:val="Heading2"/>
        <w:spacing w:after="160" w:before="280"/>
      </w:pPr>
      <w:r>
        <w:rPr>
          <w:b/>
          <w:bCs/>
        </w:rPr>
        <w:t xml:space="preserve">7.2 Dielectric Material and Loss Budget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Materials such as Megtron 6 or Megtron 7 provide the very low dissipation factor (Df) required for 800G PAM4 operation. When OI-32-05 is resolved, the material selection shall be accompanied by an insertion loss verification step — confirming that the material's loss-vs-frequency data meets the signal integrity requirements implied by §4.1's impedance targets, not only by material name.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Open — OI-32-05b: </w:t>
      </w:r>
      <w:r>
        <w:rPr>
          <w:i/>
          <w:iCs/>
          <w:sz w:val="22"/>
          <w:szCs w:val="22"/>
        </w:rPr>
        <w:t xml:space="preserve">(Confirmation needed) Specific material grade and loss budget are pending confirmation as a Velsanet requirement (part of OI-32-05).</w:t>
      </w:r>
    </w:p>
    <w:p>
      <w:pPr>
        <w:pStyle w:val="Heading2"/>
        <w:spacing w:after="160" w:before="280"/>
      </w:pPr>
      <w:r>
        <w:rPr>
          <w:b/>
          <w:bCs/>
        </w:rPr>
        <w:t xml:space="preserve">7.3 Copper Weight and IR Drop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1–2 oz copper weight proposed for power/ground layers is directly tied to OI-30-17 (die-level power estimate). Once the system's total power consumption and peak current draw are known, the selected copper weight must be validated through an IR drop simulation — confirming that voltage drop across the power delivery network remains within the regulator's tolerance margin.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Open — OI-32-05c: </w:t>
      </w:r>
      <w:r>
        <w:rPr>
          <w:i/>
          <w:iCs/>
          <w:sz w:val="22"/>
          <w:szCs w:val="22"/>
        </w:rPr>
        <w:t xml:space="preserve">(Confirmation needed) Copper weight and IR drop budget depend on WP#30 OI-30-17 and will be finalized once that figure is available — not derived from it now, since OI-30-17 itself has no fixed value yet.</w:t>
      </w:r>
    </w:p>
    <w:p>
      <w:pPr>
        <w:pStyle w:val="Heading1"/>
        <w:spacing w:after="160" w:before="280"/>
      </w:pPr>
      <w:r>
        <w:rPr>
          <w:b/>
          <w:bCs/>
        </w:rPr>
        <w:t xml:space="preserve">8. Open Items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58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Open Item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OI-32-01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3.1.2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Placement zones fixed in principle (Table 3-1, Option A); exact coordinates, keep-out zones, mechanical constraints depend on chassis design (WP#29 OI-29-05/OI-29-07)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Partially resolved — narrowed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OI-32-02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Industry-standard reference values noted (100Ω/50Ω impedance, 0.5ps/5ps length matching) but not confirmed as Velsanet requirements; inter-pair skew also pending WP#30 OI-30-16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Partially resolved — narrowed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OI-32-03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Isolation-slot technique confirmed (reused from WP#24 CH11); layer separation/guard traces proposed but unconfirmed; exact dimensions undetermined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Partially resolved — narrowed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OI-32-04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6.3/6.5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dissipation estimated (Table 6-1) and Θ_JA targets fixed (§6.2); final cooling part number/fan spec/TIM selection depends on synthesis-derived ASIC power (WP#31 OI-31-09) and chassis design (WP#29 OI-29-05/07)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Partially resolved — narrowed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OI-32-05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16-layer/stripline, Megtron 6-7, and 1-2oz copper proposed as starting points; verification steps open — stripline layer assignment (pending OI-32-01), insertion loss vs. §4.1 impedance targets, IR drop vs. WP#31 OI-31-09 (ASIC power)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Partially resolved — narrowed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OI-32-06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3.1.1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VU19P-to-ASIC pin compatibility (Option A's core assumption) not yet verified against any specific ASIC pinout — deferred until WP#30 foundry selection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— new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OI-32-07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Master/Standby PCB variant mechanism (separate board vs. populate/no-populate) not decided — tied to WP#31 OI-31-10, reflects WP#29 R10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— new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OI-32-08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2, 6.3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D and the power budget currently use QSFP-DD, which WP#31 OI-31-11 has flagged as a bring-up/verification-stage interface only — MOCT is factory-fused with no field connectors (WP#03 §4.1–4.2, WP#24 §1.4). The production-stage board edge, ribbon termination method, and power draw for a MOCT-native 800G interface are not defined; this layout will need rework once WP#31 OI-31-11 is resolved.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— new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8-1. WP#32 Open Items — v0.7 (8 open items; OI-32-08 new, registers the QSFP-DD bring-up-vs-MOCT-native gap carried over from WP#31 OI-31-11)</w:t>
      </w:r>
    </w:p>
    <w:p>
      <w:pPr>
        <w:pStyle w:val="Heading1"/>
        <w:spacing w:after="160" w:before="280"/>
      </w:pPr>
      <w:r>
        <w:rPr>
          <w:b/>
          <w:bCs/>
        </w:rPr>
        <w:t xml:space="preserve">9. Conclusion and Next Steps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§3 (Board Component Placement) and §6 (Thermal Design) are now drafted, completing all seven sections of WP#32's first full pass. Both build on a new decision made this session, per 창호: Option A — a single PCB footprint shared between the VU19P FPGA (prototype) and the future 16nm-class ASIC (production), pin-compatible so one board design covers both stages. §3 fixes placement zones (Table 3-1) and a Zone B layer-assignment rule separating high-current VCCINT vias from shared-footprint signal lines, pre-empting the most common Option A layout fault. §6 quantifies power dissipation (Table 6-1: ≈250–265W FPGA stage, ≈135–195W ASIC stage) and thermal budget (Θ_JA ≤0.20–0.29°C/W), narrows cooling solution candidates (Table 6-2) toward active heat-sink+fan or vapor-chamber approaches, and adds a PMIC sense-line thermal-isolation principle to preserve VCCINT's ±1–2% voltage precision against PMIC-generated thermal noise — applied generally since Option A's two silicon options may have different sense-line requirements.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Option A's core assumption — VU19P/ASIC pin compatibility — is explicitly unverified against any real ASIC pinout and is tracked as new OI-32-06, since foundry selection (WP#30 OI-30-17) remains open. This revision additionally reflects WP#29 R10's Mode B requirement for Master/Standby nodes: §1 notes that a Master/Standby-designated node's PCB omits the Dedicated Equipment sub-assembly connector/slot, with the exact mechanism (separate board vs. populate/no-populate variant) tied to WP#31 OI-31-10 and newly tracked here as OI-32-07. This revision also flags Zone D and the transceiver power-budget line as bring-up/verification-stage QSFP-DD only, not the production MOCT-native interface, and registers that gap as OI-32-08 (carried over from WP#31 OI-31-11). Eight open items remain in total; WP#32 is now a complete first draft across all seven sections.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Velsanet Architecture Group  —  Internal Technical Document (Skeleton Draft)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2026-07-11T08:36:10.460Z</dcterms:created>
  <dcterms:modified xsi:type="dcterms:W3CDTF">2026-07-11T08:36:10.461Z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