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999999" w:sz="1"/>
              <w:left w:val="single" w:color="999999" w:sz="1"/>
              <w:bottom w:val="single" w:color="999999" w:sz="1"/>
              <w:right w:val="single" w:color="999999" w:sz="1"/>
            </w:tcBorders>
            <w:shd w:fill="003087" w:val="clear"/>
            <w:tcMar>
              <w:top w:type="dxa" w:w="200"/>
              <w:left w:type="dxa" w:w="200"/>
              <w:bottom w:type="dxa" w:w="200"/>
              <w:right w:type="dxa" w:w="200"/>
            </w:tcMar>
          </w:tcPr>
          <w:p>
            <w:pPr>
              <w:jc w:val="center"/>
            </w:pPr>
            <w:r>
              <w:rPr>
                <w:rFonts w:ascii="Arial" w:cs="Arial" w:eastAsia="Arial" w:hAnsi="Arial"/>
                <w:b/>
                <w:bCs/>
                <w:color w:val="FFFFFF"/>
                <w:sz w:val="28"/>
                <w:szCs w:val="28"/>
              </w:rPr>
              <w:t xml:space="preserve">ITU-T STUDY GROUP 13</w:t>
            </w:r>
          </w:p>
          <w:p>
            <w:pPr>
              <w:spacing w:before="100"/>
              <w:jc w:val="center"/>
            </w:pPr>
            <w:r>
              <w:rPr>
                <w:rFonts w:ascii="Arial" w:cs="Arial" w:eastAsia="Arial" w:hAnsi="Arial"/>
                <w:b/>
                <w:bCs/>
                <w:color w:val="FFD700"/>
                <w:sz w:val="24"/>
                <w:szCs w:val="24"/>
              </w:rPr>
              <w:t xml:space="preserve">Velsanet: Topology-First, Optical-Native Architecture</w:t>
            </w:r>
          </w:p>
          <w:p>
            <w:pPr>
              <w:spacing w:before="60"/>
              <w:jc w:val="center"/>
            </w:pPr>
            <w:r>
              <w:rPr>
                <w:rFonts w:ascii="Arial" w:cs="Arial" w:eastAsia="Arial" w:hAnsi="Arial"/>
                <w:color w:val="CCDDFF"/>
                <w:sz w:val="20"/>
                <w:szCs w:val="20"/>
              </w:rPr>
              <w:t xml:space="preserve">Proposal for New Work Item under IMT-2030 / 6G Framework</w:t>
            </w:r>
          </w:p>
          <w:p>
            <w:pPr>
              <w:spacing w:before="60"/>
              <w:jc w:val="center"/>
            </w:pPr>
            <w:r>
              <w:rPr>
                <w:rFonts w:ascii="Arial" w:cs="Arial" w:eastAsia="Arial" w:hAnsi="Arial"/>
                <w:i/>
                <w:iCs/>
                <w:color w:val="AACCFF"/>
                <w:sz w:val="18"/>
                <w:szCs w:val="18"/>
              </w:rPr>
              <w:t xml:space="preserve">Work Items A (Topology-First Architecture) &amp; B/E (Optical-Native E2E + Mathematical Framework)</w:t>
            </w:r>
          </w:p>
        </w:tc>
      </w:tr>
    </w:tbl>
    <w:p>
      <w:pPr>
        <w:spacing w:before="60" w:after="6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c>
          <w:tcPr>
            <w:tcW w:type="dxa" w:w="2400"/>
            <w:tcBorders>
              <w:top w:val="single" w:color="999999" w:sz="1"/>
              <w:left w:val="single" w:color="999999" w:sz="1"/>
              <w:bottom w:val="single" w:color="999999" w:sz="1"/>
              <w:right w:val="single" w:color="999999" w:sz="1"/>
            </w:tcBorders>
            <w:shd w:fill="00308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Document Number</w:t>
            </w:r>
          </w:p>
        </w:tc>
        <w:tc>
          <w:tcPr>
            <w:tcW w:type="dxa" w:w="7238"/>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COM13-C-XXXX-E</w:t>
            </w:r>
          </w:p>
        </w:tc>
      </w:tr>
      <w:tr>
        <w:tc>
          <w:tcPr>
            <w:tcW w:type="dxa" w:w="2400"/>
            <w:tcBorders>
              <w:top w:val="single" w:color="999999" w:sz="1"/>
              <w:left w:val="single" w:color="999999" w:sz="1"/>
              <w:bottom w:val="single" w:color="999999" w:sz="1"/>
              <w:right w:val="single" w:color="999999" w:sz="1"/>
            </w:tcBorders>
            <w:shd w:fill="00308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Question</w:t>
            </w:r>
          </w:p>
        </w:tc>
        <w:tc>
          <w:tcPr>
            <w:tcW w:type="dxa" w:w="7238"/>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Q22/13 — Enhanced Information-Centric Networking and Emerging Network Technologies</w:t>
            </w:r>
          </w:p>
        </w:tc>
      </w:tr>
      <w:tr>
        <w:tc>
          <w:tcPr>
            <w:tcW w:type="dxa" w:w="2400"/>
            <w:tcBorders>
              <w:top w:val="single" w:color="999999" w:sz="1"/>
              <w:left w:val="single" w:color="999999" w:sz="1"/>
              <w:bottom w:val="single" w:color="999999" w:sz="1"/>
              <w:right w:val="single" w:color="999999" w:sz="1"/>
            </w:tcBorders>
            <w:shd w:fill="00308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Source</w:t>
            </w:r>
          </w:p>
        </w:tc>
        <w:tc>
          <w:tcPr>
            <w:tcW w:type="dxa" w:w="7238"/>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Velsanet Architecture Group</w:t>
            </w:r>
          </w:p>
        </w:tc>
      </w:tr>
      <w:tr>
        <w:tc>
          <w:tcPr>
            <w:tcW w:type="dxa" w:w="2400"/>
            <w:tcBorders>
              <w:top w:val="single" w:color="999999" w:sz="1"/>
              <w:left w:val="single" w:color="999999" w:sz="1"/>
              <w:bottom w:val="single" w:color="999999" w:sz="1"/>
              <w:right w:val="single" w:color="999999" w:sz="1"/>
            </w:tcBorders>
            <w:shd w:fill="00308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Title</w:t>
            </w:r>
          </w:p>
        </w:tc>
        <w:tc>
          <w:tcPr>
            <w:tcW w:type="dxa" w:w="7238"/>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Topology-First, Optical-Native Network Architecture for AI-Native 6G (Work Items A, B, E)</w:t>
            </w:r>
          </w:p>
        </w:tc>
      </w:tr>
      <w:tr>
        <w:tc>
          <w:tcPr>
            <w:tcW w:type="dxa" w:w="2400"/>
            <w:tcBorders>
              <w:top w:val="single" w:color="999999" w:sz="1"/>
              <w:left w:val="single" w:color="999999" w:sz="1"/>
              <w:bottom w:val="single" w:color="999999" w:sz="1"/>
              <w:right w:val="single" w:color="999999" w:sz="1"/>
            </w:tcBorders>
            <w:shd w:fill="00308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Purpose</w:t>
            </w:r>
          </w:p>
        </w:tc>
        <w:tc>
          <w:tcPr>
            <w:tcW w:type="dxa" w:w="7238"/>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Proposal / New Work Item</w:t>
            </w:r>
          </w:p>
        </w:tc>
      </w:tr>
      <w:tr>
        <w:tc>
          <w:tcPr>
            <w:tcW w:type="dxa" w:w="2400"/>
            <w:tcBorders>
              <w:top w:val="single" w:color="999999" w:sz="1"/>
              <w:left w:val="single" w:color="999999" w:sz="1"/>
              <w:bottom w:val="single" w:color="999999" w:sz="1"/>
              <w:right w:val="single" w:color="999999" w:sz="1"/>
            </w:tcBorders>
            <w:shd w:fill="00308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Date</w:t>
            </w:r>
          </w:p>
        </w:tc>
        <w:tc>
          <w:tcPr>
            <w:tcW w:type="dxa" w:w="7238"/>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2026</w:t>
            </w:r>
          </w:p>
        </w:tc>
      </w:tr>
      <w:tr>
        <w:tc>
          <w:tcPr>
            <w:tcW w:type="dxa" w:w="2400"/>
            <w:tcBorders>
              <w:top w:val="single" w:color="999999" w:sz="1"/>
              <w:left w:val="single" w:color="999999" w:sz="1"/>
              <w:bottom w:val="single" w:color="999999" w:sz="1"/>
              <w:right w:val="single" w:color="999999" w:sz="1"/>
            </w:tcBorders>
            <w:shd w:fill="00308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Contact</w:t>
            </w:r>
          </w:p>
        </w:tc>
        <w:tc>
          <w:tcPr>
            <w:tcW w:type="dxa" w:w="7238"/>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Velsanet Research Institute (Proposed), Republic of Korea
github.com/joa337/velsanet-whitepapers</w:t>
            </w:r>
          </w:p>
        </w:tc>
      </w:tr>
    </w:tbl>
    <w:p>
      <w:pPr>
        <w:spacing w:before="60" w:after="6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999999" w:sz="1"/>
              <w:left w:val="single" w:color="999999" w:sz="1"/>
              <w:bottom w:val="single" w:color="999999" w:sz="1"/>
              <w:right w:val="single" w:color="999999" w:sz="1"/>
            </w:tcBorders>
            <w:shd w:fill="D6E4F0" w:val="clear"/>
            <w:tcMar>
              <w:top w:type="dxa" w:w="120"/>
              <w:left w:type="dxa" w:w="160"/>
              <w:bottom w:type="dxa" w:w="120"/>
              <w:right w:type="dxa" w:w="160"/>
            </w:tcMar>
          </w:tcPr>
          <w:p>
            <w:r>
              <w:rPr>
                <w:rFonts w:ascii="Arial" w:cs="Arial" w:eastAsia="Arial" w:hAnsi="Arial"/>
                <w:b/>
                <w:bCs/>
                <w:color w:val="003087"/>
                <w:sz w:val="22"/>
                <w:szCs w:val="22"/>
              </w:rPr>
              <w:t xml:space="preserve">Abstract</w:t>
            </w:r>
          </w:p>
          <w:p>
            <w:pPr>
              <w:spacing w:before="60" w:after="60"/>
            </w:pPr>
            <w:r>
              <w:t xml:space="preserve"/>
            </w:r>
          </w:p>
          <w:p>
            <w:r>
              <w:rPr>
                <w:rFonts w:ascii="Arial" w:cs="Arial" w:eastAsia="Arial" w:hAnsi="Arial"/>
                <w:sz w:val="20"/>
                <w:szCs w:val="20"/>
              </w:rPr>
              <w:t xml:space="preserve">This contribution proposes a fundamentally new network architecture for IMT-2030 (6G) and beyond, designated Velsanet. Unlike incremental extensions of existing Internet infrastructure, Velsanet introduces a topology-first, packet-free, optically-native design in which network space is defined prior to addressing, and end-to-end (E2E) connectivity is established through physically isolated parallel optical cores.</w:t>
            </w:r>
          </w:p>
          <w:p>
            <w:pPr>
              <w:spacing w:before="60" w:after="60"/>
            </w:pPr>
            <w:r>
              <w:t xml:space="preserve"/>
            </w:r>
          </w:p>
          <w:p>
            <w:r>
              <w:rPr>
                <w:rFonts w:ascii="Arial" w:cs="Arial" w:eastAsia="Arial" w:hAnsi="Arial"/>
                <w:sz w:val="20"/>
                <w:szCs w:val="20"/>
              </w:rPr>
              <w:t xml:space="preserve">This contribution addresses Work Items A (Topology-First Architecture), B (Optical-Native E2E Connectivity), and E (Mathematical Framework). The architecture is grounded in five polyhedral structural primitives (T₄, C₆, O₈, D₁₂, I₂₀) and formally defined using multi-layer graph theory and Q⁷ hypercube mapping. Study Group 13 is requested to initiate study of these items under Q22/13.</w:t>
            </w:r>
          </w:p>
        </w:tc>
      </w:tr>
    </w:tbl>
    <w:p>
      <w:pPr>
        <w:spacing w:before="60" w:after="60"/>
      </w:pPr>
      <w:r>
        <w:t xml:space="preserve"/>
      </w:r>
    </w:p>
    <w:p>
      <w:pPr>
        <w:pStyle w:val="Heading1"/>
        <w:spacing w:before="280" w:after="120"/>
      </w:pPr>
      <w:r>
        <w:rPr>
          <w:rFonts w:ascii="Arial" w:cs="Arial" w:eastAsia="Arial" w:hAnsi="Arial"/>
          <w:b/>
          <w:bCs/>
          <w:color w:val="003087"/>
          <w:sz w:val="26"/>
          <w:szCs w:val="26"/>
        </w:rPr>
        <w:t xml:space="preserve">1.  Motivation and Problem Statement</w:t>
      </w:r>
    </w:p>
    <w:p>
      <w:pPr>
        <w:pStyle w:val="Heading2"/>
        <w:spacing w:before="200" w:after="80"/>
      </w:pPr>
      <w:r>
        <w:rPr>
          <w:rFonts w:ascii="Arial" w:cs="Arial" w:eastAsia="Arial" w:hAnsi="Arial"/>
          <w:b/>
          <w:bCs/>
          <w:color w:val="1F497D"/>
          <w:sz w:val="22"/>
          <w:szCs w:val="22"/>
        </w:rPr>
        <w:t xml:space="preserve">1.1  Structural Limitations of Conventional Networks</w:t>
      </w:r>
    </w:p>
    <w:p>
      <w:pPr>
        <w:spacing w:before="80" w:after="80"/>
        <w:jc w:val="left"/>
      </w:pPr>
      <w:r>
        <w:rPr>
          <w:rFonts w:ascii="Arial" w:cs="Arial" w:eastAsia="Arial" w:hAnsi="Arial"/>
          <w:sz w:val="20"/>
          <w:szCs w:val="20"/>
        </w:rPr>
        <w:t xml:space="preserve">Current Internet architecture is built on packet switching, hop-by-hop routing, and address-centric communication. These embed structural limitations that cannot be resolved through optimization or incremental enhancement:</w:t>
      </w:r>
    </w:p>
    <w:p>
      <w:pPr>
        <w:pStyle w:val="ListParagraph"/>
        <w:numPr>
          <w:ilvl w:val="0"/>
          <w:numId w:val="2"/>
        </w:numPr>
        <w:spacing w:before="60" w:after="60"/>
      </w:pPr>
      <w:r>
        <w:rPr>
          <w:rFonts w:ascii="Arial" w:cs="Arial" w:eastAsia="Arial" w:hAnsi="Arial"/>
          <w:sz w:val="20"/>
          <w:szCs w:val="20"/>
        </w:rPr>
        <w:t xml:space="preserve">Traffic congestion and latency are architectural, not algorithmic — packet queuing introduces non-determinism that no software can eliminate.</w:t>
      </w:r>
    </w:p>
    <w:p>
      <w:pPr>
        <w:pStyle w:val="ListParagraph"/>
        <w:numPr>
          <w:ilvl w:val="0"/>
          <w:numId w:val="2"/>
        </w:numPr>
        <w:spacing w:before="60" w:after="60"/>
      </w:pPr>
      <w:r>
        <w:rPr>
          <w:rFonts w:ascii="Arial" w:cs="Arial" w:eastAsia="Arial" w:hAnsi="Arial"/>
          <w:sz w:val="20"/>
          <w:szCs w:val="20"/>
        </w:rPr>
        <w:t xml:space="preserve">Security is procedural rather than structural — authentication occurs at upper layers, leaving the physical path unverified and vulnerable.</w:t>
      </w:r>
    </w:p>
    <w:p>
      <w:pPr>
        <w:pStyle w:val="ListParagraph"/>
        <w:numPr>
          <w:ilvl w:val="0"/>
          <w:numId w:val="2"/>
        </w:numPr>
        <w:spacing w:before="60" w:after="60"/>
      </w:pPr>
      <w:r>
        <w:rPr>
          <w:rFonts w:ascii="Arial" w:cs="Arial" w:eastAsia="Arial" w:hAnsi="Arial"/>
          <w:sz w:val="20"/>
          <w:szCs w:val="20"/>
        </w:rPr>
        <w:t xml:space="preserve">Intelligence is external — AI is layered on top of the network, not integrated within its structure, limiting real-time cognitive capability.</w:t>
      </w:r>
    </w:p>
    <w:p>
      <w:pPr>
        <w:pStyle w:val="ListParagraph"/>
        <w:numPr>
          <w:ilvl w:val="0"/>
          <w:numId w:val="2"/>
        </w:numPr>
        <w:spacing w:before="60" w:after="60"/>
      </w:pPr>
      <w:r>
        <w:rPr>
          <w:rFonts w:ascii="Arial" w:cs="Arial" w:eastAsia="Arial" w:hAnsi="Arial"/>
          <w:sz w:val="20"/>
          <w:szCs w:val="20"/>
        </w:rPr>
        <w:t xml:space="preserve">Complexity compounds over time — every protocol extension adds fragility and reduces manageability.</w:t>
      </w:r>
    </w:p>
    <w:p>
      <w:pPr>
        <w:spacing w:before="60" w:after="60"/>
      </w:pPr>
      <w:r>
        <w:t xml:space="preserve"/>
      </w:r>
    </w:p>
    <w:p>
      <w:pPr>
        <w:pStyle w:val="Heading2"/>
        <w:spacing w:before="200" w:after="80"/>
      </w:pPr>
      <w:r>
        <w:rPr>
          <w:rFonts w:ascii="Arial" w:cs="Arial" w:eastAsia="Arial" w:hAnsi="Arial"/>
          <w:b/>
          <w:bCs/>
          <w:color w:val="1F497D"/>
          <w:sz w:val="22"/>
          <w:szCs w:val="22"/>
        </w:rPr>
        <w:t xml:space="preserve">1.2  Insufficiency of Incremental 6G Approaches</w:t>
      </w:r>
    </w:p>
    <w:p>
      <w:pPr>
        <w:spacing w:before="80" w:after="80"/>
        <w:jc w:val="left"/>
      </w:pPr>
      <w:r>
        <w:rPr>
          <w:rFonts w:ascii="Arial" w:cs="Arial" w:eastAsia="Arial" w:hAnsi="Arial"/>
          <w:sz w:val="20"/>
          <w:szCs w:val="20"/>
        </w:rPr>
        <w:t xml:space="preserve">Current IMT-2030 research programmes address next-generation networking by enhancing existing Internet protocols with AI overlays, network slicing, and software-defined networking. While valuable, these approaches retain the packet-switching substrate and address-centric topology. Velsanet contends that the structural requirements of AI-native, 6G-scale, sovereign-aware networks cannot be satisfied within this paradigm.</w:t>
      </w:r>
    </w:p>
    <w:p>
      <w:pPr>
        <w:spacing w:before="60" w:after="60"/>
      </w:pPr>
      <w:r>
        <w:t xml:space="preserve"/>
      </w:r>
    </w:p>
    <w:p>
      <w:pPr>
        <w:pStyle w:val="Heading1"/>
        <w:spacing w:before="280" w:after="120"/>
      </w:pPr>
      <w:r>
        <w:rPr>
          <w:rFonts w:ascii="Arial" w:cs="Arial" w:eastAsia="Arial" w:hAnsi="Arial"/>
          <w:b/>
          <w:bCs/>
          <w:color w:val="003087"/>
          <w:sz w:val="26"/>
          <w:szCs w:val="26"/>
        </w:rPr>
        <w:t xml:space="preserve">2.  Velsanet Architecture Overview</w:t>
      </w:r>
    </w:p>
    <w:p>
      <w:pPr>
        <w:pStyle w:val="Heading2"/>
        <w:spacing w:before="200" w:after="80"/>
      </w:pPr>
      <w:r>
        <w:rPr>
          <w:rFonts w:ascii="Arial" w:cs="Arial" w:eastAsia="Arial" w:hAnsi="Arial"/>
          <w:b/>
          <w:bCs/>
          <w:color w:val="1F497D"/>
          <w:sz w:val="22"/>
          <w:szCs w:val="22"/>
        </w:rPr>
        <w:t xml:space="preserve">2.1  Core Architectural Principle: Topology First</w:t>
      </w:r>
    </w:p>
    <w:p>
      <w:pPr>
        <w:spacing w:before="80" w:after="80"/>
        <w:jc w:val="left"/>
      </w:pPr>
      <w:r>
        <w:rPr>
          <w:rFonts w:ascii="Arial" w:cs="Arial" w:eastAsia="Arial" w:hAnsi="Arial"/>
          <w:sz w:val="20"/>
          <w:szCs w:val="20"/>
        </w:rPr>
        <w:t xml:space="preserve">The foundational principle of Velsanet is that network space is defined prior to the assignment of coordinates or addresses. In conventional architectures, topology is derived from addressing. In Velsanet, addressing is derived from topology. This inversion enables:</w:t>
      </w:r>
    </w:p>
    <w:p>
      <w:pPr>
        <w:pStyle w:val="ListParagraph"/>
        <w:numPr>
          <w:ilvl w:val="0"/>
          <w:numId w:val="2"/>
        </w:numPr>
        <w:spacing w:before="60" w:after="60"/>
      </w:pPr>
      <w:r>
        <w:rPr>
          <w:rFonts w:ascii="Arial" w:cs="Arial" w:eastAsia="Arial" w:hAnsi="Arial"/>
          <w:sz w:val="20"/>
          <w:szCs w:val="20"/>
        </w:rPr>
        <w:t xml:space="preserve">Structural fault containment — failures are bounded by topological locality, not propagated globally.</w:t>
      </w:r>
    </w:p>
    <w:p>
      <w:pPr>
        <w:pStyle w:val="ListParagraph"/>
        <w:numPr>
          <w:ilvl w:val="0"/>
          <w:numId w:val="2"/>
        </w:numPr>
        <w:spacing w:before="60" w:after="60"/>
      </w:pPr>
      <w:r>
        <w:rPr>
          <w:rFonts w:ascii="Arial" w:cs="Arial" w:eastAsia="Arial" w:hAnsi="Arial"/>
          <w:sz w:val="20"/>
          <w:szCs w:val="20"/>
        </w:rPr>
        <w:t xml:space="preserve">Deterministic parallelism — parallel E2E connections are physically isolated at the optical core level.</w:t>
      </w:r>
    </w:p>
    <w:p>
      <w:pPr>
        <w:pStyle w:val="ListParagraph"/>
        <w:numPr>
          <w:ilvl w:val="0"/>
          <w:numId w:val="2"/>
        </w:numPr>
        <w:spacing w:before="60" w:after="60"/>
      </w:pPr>
      <w:r>
        <w:rPr>
          <w:rFonts w:ascii="Arial" w:cs="Arial" w:eastAsia="Arial" w:hAnsi="Arial"/>
          <w:sz w:val="20"/>
          <w:szCs w:val="20"/>
        </w:rPr>
        <w:t xml:space="preserve">AI-native operation — intelligence agents operate as native participants within the topological space.</w:t>
      </w:r>
    </w:p>
    <w:p>
      <w:pPr>
        <w:pStyle w:val="ListParagraph"/>
        <w:numPr>
          <w:ilvl w:val="0"/>
          <w:numId w:val="2"/>
        </w:numPr>
        <w:spacing w:before="60" w:after="60"/>
      </w:pPr>
      <w:r>
        <w:rPr>
          <w:rFonts w:ascii="Arial" w:cs="Arial" w:eastAsia="Arial" w:hAnsi="Arial"/>
          <w:sz w:val="20"/>
          <w:szCs w:val="20"/>
        </w:rPr>
        <w:t xml:space="preserve">Verifiable sovereignty — governance boundaries are encoded into the structural hierarchy.</w:t>
      </w:r>
    </w:p>
    <w:p>
      <w:pPr>
        <w:spacing w:before="60" w:after="60"/>
      </w:pPr>
      <w:r>
        <w:t xml:space="preserve"/>
      </w:r>
    </w:p>
    <w:p>
      <w:pPr>
        <w:pStyle w:val="Heading2"/>
        <w:spacing w:before="200" w:after="80"/>
      </w:pPr>
      <w:r>
        <w:rPr>
          <w:rFonts w:ascii="Arial" w:cs="Arial" w:eastAsia="Arial" w:hAnsi="Arial"/>
          <w:b/>
          <w:bCs/>
          <w:color w:val="1F497D"/>
          <w:sz w:val="22"/>
          <w:szCs w:val="22"/>
        </w:rPr>
        <w:t xml:space="preserve">2.2  Polyhedral Structural Primitives (Work Item A)</w:t>
      </w:r>
    </w:p>
    <w:p>
      <w:pPr>
        <w:spacing w:before="80" w:after="80"/>
        <w:jc w:val="left"/>
      </w:pPr>
      <w:r>
        <w:rPr>
          <w:rFonts w:ascii="Arial" w:cs="Arial" w:eastAsia="Arial" w:hAnsi="Arial"/>
          <w:sz w:val="20"/>
          <w:szCs w:val="20"/>
        </w:rPr>
        <w:t xml:space="preserve">Velsanet defines network space through five polyhedral roles that function as structural primitives:</w:t>
      </w:r>
    </w:p>
    <w:p>
      <w:pPr>
        <w:spacing w:before="60" w:after="6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438"/>
      </w:tblGrid>
      <w:tr>
        <w:tc>
          <w:tcPr>
            <w:tcW w:type="dxa" w:w="2000"/>
            <w:tcBorders>
              <w:top w:val="single" w:color="999999" w:sz="1"/>
              <w:left w:val="single" w:color="999999" w:sz="1"/>
              <w:bottom w:val="single" w:color="999999" w:sz="1"/>
              <w:right w:val="single" w:color="999999" w:sz="1"/>
            </w:tcBorders>
            <w:shd w:fill="00308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Polyhedron</w:t>
            </w:r>
          </w:p>
        </w:tc>
        <w:tc>
          <w:tcPr>
            <w:tcW w:type="dxa" w:w="2200"/>
            <w:tcBorders>
              <w:top w:val="single" w:color="999999" w:sz="1"/>
              <w:left w:val="single" w:color="999999" w:sz="1"/>
              <w:bottom w:val="single" w:color="999999" w:sz="1"/>
              <w:right w:val="single" w:color="999999" w:sz="1"/>
            </w:tcBorders>
            <w:shd w:fill="00308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Role</w:t>
            </w:r>
          </w:p>
        </w:tc>
        <w:tc>
          <w:tcPr>
            <w:tcW w:type="dxa" w:w="5438"/>
            <w:tcBorders>
              <w:top w:val="single" w:color="999999" w:sz="1"/>
              <w:left w:val="single" w:color="999999" w:sz="1"/>
              <w:bottom w:val="single" w:color="999999" w:sz="1"/>
              <w:right w:val="single" w:color="999999" w:sz="1"/>
            </w:tcBorders>
            <w:shd w:fill="00308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Structural Responsibility</w:t>
            </w:r>
          </w:p>
        </w:tc>
      </w:tr>
      <w:tr>
        <w:tc>
          <w:tcPr>
            <w:tcW w:type="dxa" w:w="200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tcPr>
          <w:p>
            <w:r>
              <w:rPr>
                <w:rFonts w:ascii="Arial" w:cs="Arial" w:eastAsia="Arial" w:hAnsi="Arial"/>
                <w:b/>
                <w:bCs/>
                <w:sz w:val="20"/>
                <w:szCs w:val="20"/>
              </w:rPr>
              <w:t xml:space="preserve">T₄ (Tetrahedron)</w:t>
            </w:r>
          </w:p>
        </w:tc>
        <w:tc>
          <w:tcPr>
            <w:tcW w:type="dxa" w:w="220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Access Node</w:t>
            </w:r>
          </w:p>
        </w:tc>
        <w:tc>
          <w:tcPr>
            <w:tcW w:type="dxa" w:w="5438"/>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Access emergence and initiation — entry point for devices into the optical domain</w:t>
            </w:r>
          </w:p>
        </w:tc>
      </w:tr>
      <w:tr>
        <w:tc>
          <w:tcPr>
            <w:tcW w:type="dxa" w:w="2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bCs/>
                <w:sz w:val="20"/>
                <w:szCs w:val="20"/>
              </w:rPr>
              <w:t xml:space="preserve">C₆ (Hexahedron)</w:t>
            </w:r>
          </w:p>
        </w:tc>
        <w:tc>
          <w:tcPr>
            <w:tcW w:type="dxa" w:w="2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Channel Node</w:t>
            </w:r>
          </w:p>
        </w:tc>
        <w:tc>
          <w:tcPr>
            <w:tcW w:type="dxa" w:w="5438"/>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Channel alignment and aggregation — coordination of parallel optical pathways</w:t>
            </w:r>
          </w:p>
        </w:tc>
      </w:tr>
      <w:tr>
        <w:tc>
          <w:tcPr>
            <w:tcW w:type="dxa" w:w="200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tcPr>
          <w:p>
            <w:r>
              <w:rPr>
                <w:rFonts w:ascii="Arial" w:cs="Arial" w:eastAsia="Arial" w:hAnsi="Arial"/>
                <w:b/>
                <w:bCs/>
                <w:sz w:val="20"/>
                <w:szCs w:val="20"/>
              </w:rPr>
              <w:t xml:space="preserve">O₈ (Octahedron)</w:t>
            </w:r>
          </w:p>
        </w:tc>
        <w:tc>
          <w:tcPr>
            <w:tcW w:type="dxa" w:w="220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Local E2E Domain</w:t>
            </w:r>
          </w:p>
        </w:tc>
        <w:tc>
          <w:tcPr>
            <w:tcW w:type="dxa" w:w="5438"/>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Local parallel E2E domain — physically isolated multi-core connections for devices</w:t>
            </w:r>
          </w:p>
        </w:tc>
      </w:tr>
      <w:tr>
        <w:tc>
          <w:tcPr>
            <w:tcW w:type="dxa" w:w="2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bCs/>
                <w:sz w:val="20"/>
                <w:szCs w:val="20"/>
              </w:rPr>
              <w:t xml:space="preserve">D₁₂ (Dodecahedron)</w:t>
            </w:r>
          </w:p>
        </w:tc>
        <w:tc>
          <w:tcPr>
            <w:tcW w:type="dxa" w:w="2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Mediation Node</w:t>
            </w:r>
          </w:p>
        </w:tc>
        <w:tc>
          <w:tcPr>
            <w:tcW w:type="dxa" w:w="5438"/>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Mediation and expansion control — inter-domain coordination and topology growth</w:t>
            </w:r>
          </w:p>
        </w:tc>
      </w:tr>
      <w:tr>
        <w:tc>
          <w:tcPr>
            <w:tcW w:type="dxa" w:w="200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tcPr>
          <w:p>
            <w:r>
              <w:rPr>
                <w:rFonts w:ascii="Arial" w:cs="Arial" w:eastAsia="Arial" w:hAnsi="Arial"/>
                <w:b/>
                <w:bCs/>
                <w:sz w:val="20"/>
                <w:szCs w:val="20"/>
              </w:rPr>
              <w:t xml:space="preserve">I₂₀ (Icosahedron)</w:t>
            </w:r>
          </w:p>
        </w:tc>
        <w:tc>
          <w:tcPr>
            <w:tcW w:type="dxa" w:w="220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Governance Node</w:t>
            </w:r>
          </w:p>
        </w:tc>
        <w:tc>
          <w:tcPr>
            <w:tcW w:type="dxa" w:w="5438"/>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Global balance and structural governance — planetary-scale coherence without central control</w:t>
            </w:r>
          </w:p>
        </w:tc>
      </w:tr>
    </w:tbl>
    <w:p>
      <w:pPr>
        <w:spacing w:before="60" w:after="60"/>
      </w:pPr>
      <w:r>
        <w:t xml:space="preserve"/>
      </w:r>
    </w:p>
    <w:p>
      <w:pPr>
        <w:spacing w:before="80" w:after="80"/>
        <w:jc w:val="left"/>
      </w:pPr>
      <w:r>
        <w:rPr>
          <w:rFonts w:ascii="Arial" w:cs="Arial" w:eastAsia="Arial" w:hAnsi="Arial"/>
          <w:sz w:val="20"/>
          <w:szCs w:val="20"/>
        </w:rPr>
        <w:t xml:space="preserve">Network space in Velsanet is generated exclusively through valid compositions of these five primitives. No structural entity may exist outside this role set, ensuring that network growth remains bounded, composable, and formally verifiable.</w:t>
      </w:r>
    </w:p>
    <w:p>
      <w:pPr>
        <w:spacing w:before="60" w:after="60"/>
      </w:pPr>
      <w:r>
        <w:t xml:space="preserve"/>
      </w:r>
    </w:p>
    <w:p>
      <w:pPr>
        <w:pStyle w:val="Heading2"/>
        <w:spacing w:before="200" w:after="80"/>
      </w:pPr>
      <w:r>
        <w:rPr>
          <w:rFonts w:ascii="Arial" w:cs="Arial" w:eastAsia="Arial" w:hAnsi="Arial"/>
          <w:b/>
          <w:bCs/>
          <w:color w:val="1F497D"/>
          <w:sz w:val="22"/>
          <w:szCs w:val="22"/>
        </w:rPr>
        <w:t xml:space="preserve">2.3  Multi-Optical-Core Transceiver — MOCT (Work Item B)</w:t>
      </w:r>
    </w:p>
    <w:p>
      <w:pPr>
        <w:spacing w:before="80" w:after="80"/>
        <w:jc w:val="left"/>
      </w:pPr>
      <w:r>
        <w:rPr>
          <w:rFonts w:ascii="Arial" w:cs="Arial" w:eastAsia="Arial" w:hAnsi="Arial"/>
          <w:sz w:val="20"/>
          <w:szCs w:val="20"/>
        </w:rPr>
        <w:t xml:space="preserve">Velsanet replaces packet switching and electrical routing with a fixed, non-pluggable Multi-Optical-Core Transceiver (MOCT) — a physically integrated photonic substrate enabling deterministic, parallel E2E connectivity at the hardware level.</w:t>
      </w:r>
    </w:p>
    <w:p>
      <w:pPr>
        <w:spacing w:before="60" w:after="60"/>
      </w:pPr>
      <w:r>
        <w:t xml:space="preserve"/>
      </w:r>
    </w:p>
    <w:p>
      <w:pPr>
        <w:spacing w:before="80" w:after="80"/>
        <w:jc w:val="left"/>
      </w:pPr>
      <w:r>
        <w:rPr>
          <w:rFonts w:ascii="Arial" w:cs="Arial" w:eastAsia="Arial" w:hAnsi="Arial"/>
          <w:b/>
          <w:bCs/>
          <w:sz w:val="20"/>
          <w:szCs w:val="20"/>
        </w:rPr>
        <w:t xml:space="preserve">Key properties of the MOCT:</w:t>
      </w:r>
    </w:p>
    <w:p>
      <w:pPr>
        <w:pStyle w:val="ListParagraph"/>
        <w:numPr>
          <w:ilvl w:val="0"/>
          <w:numId w:val="2"/>
        </w:numPr>
        <w:spacing w:before="60" w:after="60"/>
      </w:pPr>
      <w:r>
        <w:rPr>
          <w:rFonts w:ascii="Arial" w:cs="Arial" w:eastAsia="Arial" w:hAnsi="Arial"/>
          <w:sz w:val="20"/>
          <w:szCs w:val="20"/>
        </w:rPr>
        <w:t xml:space="preserve">Supports tens to hundreds of simultaneously active parallel optical cores per node.</w:t>
      </w:r>
    </w:p>
    <w:p>
      <w:pPr>
        <w:pStyle w:val="ListParagraph"/>
        <w:numPr>
          <w:ilvl w:val="0"/>
          <w:numId w:val="2"/>
        </w:numPr>
        <w:spacing w:before="60" w:after="60"/>
      </w:pPr>
      <w:r>
        <w:rPr>
          <w:rFonts w:ascii="Arial" w:cs="Arial" w:eastAsia="Arial" w:hAnsi="Arial"/>
          <w:sz w:val="20"/>
          <w:szCs w:val="20"/>
        </w:rPr>
        <w:t xml:space="preserve">Each E2E connection occupies a physically isolated, dedicated optical core — no multiplexing, no shared medium.</w:t>
      </w:r>
    </w:p>
    <w:p>
      <w:pPr>
        <w:pStyle w:val="ListParagraph"/>
        <w:numPr>
          <w:ilvl w:val="0"/>
          <w:numId w:val="2"/>
        </w:numPr>
        <w:spacing w:before="60" w:after="60"/>
      </w:pPr>
      <w:r>
        <w:rPr>
          <w:rFonts w:ascii="Arial" w:cs="Arial" w:eastAsia="Arial" w:hAnsi="Arial"/>
          <w:sz w:val="20"/>
          <w:szCs w:val="20"/>
        </w:rPr>
        <w:t xml:space="preserve">8 internal channels per core: Channel 1 reserved for sensing, control, and physical-layer authentication; Channels 2–8 carry data.</w:t>
      </w:r>
    </w:p>
    <w:p>
      <w:pPr>
        <w:pStyle w:val="ListParagraph"/>
        <w:numPr>
          <w:ilvl w:val="0"/>
          <w:numId w:val="2"/>
        </w:numPr>
        <w:spacing w:before="60" w:after="60"/>
      </w:pPr>
      <w:r>
        <w:rPr>
          <w:rFonts w:ascii="Arial" w:cs="Arial" w:eastAsia="Arial" w:hAnsi="Arial"/>
          <w:sz w:val="20"/>
          <w:szCs w:val="20"/>
        </w:rPr>
        <w:t xml:space="preserve">Pre-attached optical fibers (5m+) are fused at manufacture — eliminating connector-based reliability failure modes.</w:t>
      </w:r>
    </w:p>
    <w:p>
      <w:pPr>
        <w:pStyle w:val="ListParagraph"/>
        <w:numPr>
          <w:ilvl w:val="0"/>
          <w:numId w:val="2"/>
        </w:numPr>
        <w:spacing w:before="60" w:after="60"/>
      </w:pPr>
      <w:r>
        <w:rPr>
          <w:rFonts w:ascii="Arial" w:cs="Arial" w:eastAsia="Arial" w:hAnsi="Arial"/>
          <w:sz w:val="20"/>
          <w:szCs w:val="20"/>
        </w:rPr>
        <w:t xml:space="preserve">MEMS-based alignment fixtures provide micron-level precision without active switching or beam steering.</w:t>
      </w:r>
    </w:p>
    <w:p>
      <w:pPr>
        <w:spacing w:before="60" w:after="60"/>
      </w:pPr>
      <w:r>
        <w:t xml:space="preserve"/>
      </w:r>
    </w:p>
    <w:p>
      <w:pPr>
        <w:pStyle w:val="Heading1"/>
        <w:spacing w:before="280" w:after="120"/>
      </w:pPr>
      <w:r>
        <w:rPr>
          <w:rFonts w:ascii="Arial" w:cs="Arial" w:eastAsia="Arial" w:hAnsi="Arial"/>
          <w:b/>
          <w:bCs/>
          <w:color w:val="003087"/>
          <w:sz w:val="26"/>
          <w:szCs w:val="26"/>
        </w:rPr>
        <w:t xml:space="preserve">3.  Mathematical Structural Foundation (Work Item E)</w:t>
      </w:r>
    </w:p>
    <w:p>
      <w:pPr>
        <w:spacing w:before="80" w:after="80"/>
        <w:jc w:val="left"/>
      </w:pPr>
      <w:r>
        <w:rPr>
          <w:rFonts w:ascii="Arial" w:cs="Arial" w:eastAsia="Arial" w:hAnsi="Arial"/>
          <w:sz w:val="20"/>
          <w:szCs w:val="20"/>
        </w:rPr>
        <w:t xml:space="preserve">The Velsanet architecture is formally defined using multi-layer graph theory. Unlike conventional networks modeled as a single graph G = (V, E), Velsanet defines a structural layer set:</w:t>
      </w:r>
    </w:p>
    <w:p>
      <w:pPr>
        <w:spacing w:before="60" w:after="6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999999" w:sz="1"/>
              <w:left w:val="single" w:color="999999" w:sz="1"/>
              <w:bottom w:val="single" w:color="999999" w:sz="1"/>
              <w:right w:val="single" w:color="999999" w:sz="1"/>
            </w:tcBorders>
            <w:shd w:fill="F2F2F2" w:val="clear"/>
            <w:tcMar>
              <w:top w:type="dxa" w:w="120"/>
              <w:left w:type="dxa" w:w="200"/>
              <w:bottom w:type="dxa" w:w="120"/>
              <w:right w:type="dxa" w:w="200"/>
            </w:tcMar>
          </w:tcPr>
          <w:p>
            <w:r>
              <w:rPr>
                <w:rFonts w:ascii="Courier New" w:cs="Courier New" w:eastAsia="Courier New" w:hAnsi="Courier New"/>
                <w:b/>
                <w:bCs/>
                <w:sz w:val="22"/>
                <w:szCs w:val="22"/>
              </w:rPr>
              <w:t xml:space="preserve">L = {L₄, L₆, L₈, L₁₂, L₂₀}</w:t>
            </w:r>
          </w:p>
          <w:p>
            <w:pPr>
              <w:spacing w:before="60" w:after="60"/>
            </w:pPr>
            <w:r>
              <w:t xml:space="preserve"/>
            </w:r>
          </w:p>
          <w:p>
            <w:r>
              <w:rPr>
                <w:rFonts w:ascii="Courier New" w:cs="Courier New" w:eastAsia="Courier New" w:hAnsi="Courier New"/>
                <w:b/>
                <w:bCs/>
                <w:sz w:val="22"/>
                <w:szCs w:val="22"/>
              </w:rPr>
              <w:t xml:space="preserve">Q⁷ = ({0,1}⁷, E),  where (u,v) ∈ E ↔ |u⊕v| = 1</w:t>
            </w:r>
          </w:p>
          <w:p>
            <w:pPr>
              <w:spacing w:before="60" w:after="60"/>
            </w:pPr>
            <w:r>
              <w:t xml:space="preserve"/>
            </w:r>
          </w:p>
          <w:p>
            <w:r>
              <w:rPr>
                <w:rFonts w:ascii="Courier New" w:cs="Courier New" w:eastAsia="Courier New" w:hAnsi="Courier New"/>
                <w:b/>
                <w:bCs/>
                <w:sz w:val="22"/>
                <w:szCs w:val="22"/>
              </w:rPr>
              <w:t xml:space="preserve">Non-Collision Constraint:  ∀ i ≠ j: Core(rᵢ) ∩ Core(rⱼ) = ∅</w:t>
            </w:r>
          </w:p>
          <w:p>
            <w:pPr>
              <w:spacing w:before="60" w:after="60"/>
            </w:pPr>
            <w:r>
              <w:t xml:space="preserve"/>
            </w:r>
          </w:p>
          <w:p>
            <w:r>
              <w:rPr>
                <w:rFonts w:ascii="Arial" w:cs="Arial" w:eastAsia="Arial" w:hAnsi="Arial"/>
                <w:i/>
                <w:iCs/>
                <w:color w:val="444444"/>
                <w:sz w:val="18"/>
                <w:szCs w:val="18"/>
              </w:rPr>
              <w:t xml:space="preserve">Bisection bandwidth of Q⁷: 2⁶ = 64  (high regional parallelism)</w:t>
            </w:r>
          </w:p>
        </w:tc>
      </w:tr>
    </w:tbl>
    <w:p>
      <w:pPr>
        <w:spacing w:before="60" w:after="60"/>
      </w:pPr>
      <w:r>
        <w:t xml:space="preserve"/>
      </w:r>
    </w:p>
    <w:p>
      <w:pPr>
        <w:spacing w:before="80" w:after="80"/>
        <w:jc w:val="left"/>
      </w:pPr>
      <w:r>
        <w:rPr>
          <w:rFonts w:ascii="Arial" w:cs="Arial" w:eastAsia="Arial" w:hAnsi="Arial"/>
          <w:sz w:val="20"/>
          <w:szCs w:val="20"/>
        </w:rPr>
        <w:t xml:space="preserve">Each layer Lₙ corresponds to a polyhedral role layer. Intra-layer connectivity and inter-layer relations are defined independently, forming a super-adjacency matrix that enforces structural decomposition at design time. The non-collision constraint guarantees physical parallelism — unlike packet-based sharing models where logical parallelism coexists with physical contention.</w:t>
      </w:r>
    </w:p>
    <w:p>
      <w:pPr>
        <w:spacing w:before="60" w:after="60"/>
      </w:pPr>
      <w:r>
        <w:t xml:space="preserve"/>
      </w:r>
    </w:p>
    <w:p>
      <w:pPr>
        <w:pStyle w:val="Heading1"/>
        <w:spacing w:before="280" w:after="120"/>
      </w:pPr>
      <w:r>
        <w:rPr>
          <w:rFonts w:ascii="Arial" w:cs="Arial" w:eastAsia="Arial" w:hAnsi="Arial"/>
          <w:b/>
          <w:bCs/>
          <w:color w:val="003087"/>
          <w:sz w:val="26"/>
          <w:szCs w:val="26"/>
        </w:rPr>
        <w:t xml:space="preserve">4.  Comparison with Conventional Network Architecture</w:t>
      </w:r>
    </w:p>
    <w:p>
      <w:pPr>
        <w:spacing w:before="60" w:after="6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3319"/>
        <w:gridCol w:w="3319"/>
      </w:tblGrid>
      <w:tr>
        <w:tc>
          <w:tcPr>
            <w:tcW w:type="dxa" w:w="3000"/>
            <w:tcBorders>
              <w:top w:val="single" w:color="999999" w:sz="1"/>
              <w:left w:val="single" w:color="999999" w:sz="1"/>
              <w:bottom w:val="single" w:color="999999" w:sz="1"/>
              <w:right w:val="single" w:color="999999" w:sz="1"/>
            </w:tcBorders>
            <w:shd w:fill="00308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Architectural Feature</w:t>
            </w:r>
          </w:p>
        </w:tc>
        <w:tc>
          <w:tcPr>
            <w:tcW w:type="dxa" w:w="3319"/>
            <w:tcBorders>
              <w:top w:val="single" w:color="999999" w:sz="1"/>
              <w:left w:val="single" w:color="999999" w:sz="1"/>
              <w:bottom w:val="single" w:color="999999" w:sz="1"/>
              <w:right w:val="single" w:color="999999" w:sz="1"/>
            </w:tcBorders>
            <w:shd w:fill="00308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Conventional / 5G / SDN</w:t>
            </w:r>
          </w:p>
        </w:tc>
        <w:tc>
          <w:tcPr>
            <w:tcW w:type="dxa" w:w="3319"/>
            <w:tcBorders>
              <w:top w:val="single" w:color="999999" w:sz="1"/>
              <w:left w:val="single" w:color="999999" w:sz="1"/>
              <w:bottom w:val="single" w:color="999999" w:sz="1"/>
              <w:right w:val="single" w:color="999999" w:sz="1"/>
            </w:tcBorders>
            <w:shd w:fill="00308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Velsanet</w:t>
            </w:r>
          </w:p>
        </w:tc>
      </w:tr>
      <w:tr>
        <w:tc>
          <w:tcPr>
            <w:tcW w:type="dxa" w:w="300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tcPr>
          <w:p>
            <w:r>
              <w:rPr>
                <w:rFonts w:ascii="Arial" w:cs="Arial" w:eastAsia="Arial" w:hAnsi="Arial"/>
                <w:b/>
                <w:bCs/>
                <w:sz w:val="20"/>
                <w:szCs w:val="20"/>
              </w:rPr>
              <w:t xml:space="preserve">Network Topology Model</w:t>
            </w:r>
          </w:p>
        </w:tc>
        <w:tc>
          <w:tcPr>
            <w:tcW w:type="dxa" w:w="3319"/>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Address-centric (IP-based)</w:t>
            </w:r>
          </w:p>
        </w:tc>
        <w:tc>
          <w:tcPr>
            <w:tcW w:type="dxa" w:w="3319"/>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Topology-first (pre-coordinate)</w:t>
            </w:r>
          </w:p>
        </w:tc>
      </w:tr>
      <w:tr>
        <w:tc>
          <w:tcPr>
            <w:tcW w:type="dxa" w:w="3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bCs/>
                <w:sz w:val="20"/>
                <w:szCs w:val="20"/>
              </w:rPr>
              <w:t xml:space="preserve">Data Transport</w:t>
            </w:r>
          </w:p>
        </w:tc>
        <w:tc>
          <w:tcPr>
            <w:tcW w:type="dxa" w:w="3319"/>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Packet switching + routing</w:t>
            </w:r>
          </w:p>
        </w:tc>
        <w:tc>
          <w:tcPr>
            <w:tcW w:type="dxa" w:w="3319"/>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Physical parallel optical cores</w:t>
            </w:r>
          </w:p>
        </w:tc>
      </w:tr>
      <w:tr>
        <w:tc>
          <w:tcPr>
            <w:tcW w:type="dxa" w:w="300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tcPr>
          <w:p>
            <w:r>
              <w:rPr>
                <w:rFonts w:ascii="Arial" w:cs="Arial" w:eastAsia="Arial" w:hAnsi="Arial"/>
                <w:b/>
                <w:bCs/>
                <w:sz w:val="20"/>
                <w:szCs w:val="20"/>
              </w:rPr>
              <w:t xml:space="preserve">End-to-End Path</w:t>
            </w:r>
          </w:p>
        </w:tc>
        <w:tc>
          <w:tcPr>
            <w:tcW w:type="dxa" w:w="3319"/>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Logical, shared, routed</w:t>
            </w:r>
          </w:p>
        </w:tc>
        <w:tc>
          <w:tcPr>
            <w:tcW w:type="dxa" w:w="3319"/>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Physical, isolated, deterministic</w:t>
            </w:r>
          </w:p>
        </w:tc>
      </w:tr>
      <w:tr>
        <w:tc>
          <w:tcPr>
            <w:tcW w:type="dxa" w:w="3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bCs/>
                <w:sz w:val="20"/>
                <w:szCs w:val="20"/>
              </w:rPr>
              <w:t xml:space="preserve">Security Model</w:t>
            </w:r>
          </w:p>
        </w:tc>
        <w:tc>
          <w:tcPr>
            <w:tcW w:type="dxa" w:w="3319"/>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Upper-layer cryptography</w:t>
            </w:r>
          </w:p>
        </w:tc>
        <w:tc>
          <w:tcPr>
            <w:tcW w:type="dxa" w:w="3319"/>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Physical-layer structural trust</w:t>
            </w:r>
          </w:p>
        </w:tc>
      </w:tr>
      <w:tr>
        <w:tc>
          <w:tcPr>
            <w:tcW w:type="dxa" w:w="300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tcPr>
          <w:p>
            <w:r>
              <w:rPr>
                <w:rFonts w:ascii="Arial" w:cs="Arial" w:eastAsia="Arial" w:hAnsi="Arial"/>
                <w:b/>
                <w:bCs/>
                <w:sz w:val="20"/>
                <w:szCs w:val="20"/>
              </w:rPr>
              <w:t xml:space="preserve">Scalability</w:t>
            </w:r>
          </w:p>
        </w:tc>
        <w:tc>
          <w:tcPr>
            <w:tcW w:type="dxa" w:w="3319"/>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Logical, additive complexity</w:t>
            </w:r>
          </w:p>
        </w:tc>
        <w:tc>
          <w:tcPr>
            <w:tcW w:type="dxa" w:w="3319"/>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Structural, bounded expansion</w:t>
            </w:r>
          </w:p>
        </w:tc>
      </w:tr>
      <w:tr>
        <w:tc>
          <w:tcPr>
            <w:tcW w:type="dxa" w:w="3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bCs/>
                <w:sz w:val="20"/>
                <w:szCs w:val="20"/>
              </w:rPr>
              <w:t xml:space="preserve">Parallelism</w:t>
            </w:r>
          </w:p>
        </w:tc>
        <w:tc>
          <w:tcPr>
            <w:tcW w:type="dxa" w:w="3319"/>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Logical multiplexing</w:t>
            </w:r>
          </w:p>
        </w:tc>
        <w:tc>
          <w:tcPr>
            <w:tcW w:type="dxa" w:w="3319"/>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Physical multi-core isolation</w:t>
            </w:r>
          </w:p>
        </w:tc>
      </w:tr>
      <w:tr>
        <w:tc>
          <w:tcPr>
            <w:tcW w:type="dxa" w:w="300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tcPr>
          <w:p>
            <w:r>
              <w:rPr>
                <w:rFonts w:ascii="Arial" w:cs="Arial" w:eastAsia="Arial" w:hAnsi="Arial"/>
                <w:b/>
                <w:bCs/>
                <w:sz w:val="20"/>
                <w:szCs w:val="20"/>
              </w:rPr>
              <w:t xml:space="preserve">Failure Containment</w:t>
            </w:r>
          </w:p>
        </w:tc>
        <w:tc>
          <w:tcPr>
            <w:tcW w:type="dxa" w:w="3319"/>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Global propagation risk</w:t>
            </w:r>
          </w:p>
        </w:tc>
        <w:tc>
          <w:tcPr>
            <w:tcW w:type="dxa" w:w="3319"/>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Structural locality constraint</w:t>
            </w:r>
          </w:p>
        </w:tc>
      </w:tr>
    </w:tbl>
    <w:p>
      <w:pPr>
        <w:spacing w:before="60" w:after="60"/>
      </w:pPr>
      <w:r>
        <w:t xml:space="preserve"/>
      </w:r>
    </w:p>
    <w:p>
      <w:pPr>
        <w:pStyle w:val="Heading1"/>
        <w:spacing w:before="280" w:after="120"/>
      </w:pPr>
      <w:r>
        <w:rPr>
          <w:rFonts w:ascii="Arial" w:cs="Arial" w:eastAsia="Arial" w:hAnsi="Arial"/>
          <w:b/>
          <w:bCs/>
          <w:color w:val="003087"/>
          <w:sz w:val="26"/>
          <w:szCs w:val="26"/>
        </w:rPr>
        <w:t xml:space="preserve">5.  Proposed Work Items for SG13 Consideration</w:t>
      </w:r>
    </w:p>
    <w:p>
      <w:pPr>
        <w:spacing w:before="60" w:after="6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5638"/>
      </w:tblGrid>
      <w:tr>
        <w:tc>
          <w:tcPr>
            <w:tcW w:type="dxa" w:w="1400"/>
            <w:tcBorders>
              <w:top w:val="single" w:color="999999" w:sz="1"/>
              <w:left w:val="single" w:color="999999" w:sz="1"/>
              <w:bottom w:val="single" w:color="999999" w:sz="1"/>
              <w:right w:val="single" w:color="999999" w:sz="1"/>
            </w:tcBorders>
            <w:shd w:fill="00308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WI</w:t>
            </w:r>
          </w:p>
        </w:tc>
        <w:tc>
          <w:tcPr>
            <w:tcW w:type="dxa" w:w="2600"/>
            <w:tcBorders>
              <w:top w:val="single" w:color="999999" w:sz="1"/>
              <w:left w:val="single" w:color="999999" w:sz="1"/>
              <w:bottom w:val="single" w:color="999999" w:sz="1"/>
              <w:right w:val="single" w:color="999999" w:sz="1"/>
            </w:tcBorders>
            <w:shd w:fill="00308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Title</w:t>
            </w:r>
          </w:p>
        </w:tc>
        <w:tc>
          <w:tcPr>
            <w:tcW w:type="dxa" w:w="5638"/>
            <w:tcBorders>
              <w:top w:val="single" w:color="999999" w:sz="1"/>
              <w:left w:val="single" w:color="999999" w:sz="1"/>
              <w:bottom w:val="single" w:color="999999" w:sz="1"/>
              <w:right w:val="single" w:color="999999" w:sz="1"/>
            </w:tcBorders>
            <w:shd w:fill="00308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Core Content</w:t>
            </w:r>
          </w:p>
        </w:tc>
      </w:tr>
      <w:tr>
        <w:tc>
          <w:tcPr>
            <w:tcW w:type="dxa" w:w="1400"/>
            <w:tcBorders>
              <w:top w:val="single" w:color="999999" w:sz="1"/>
              <w:left w:val="single" w:color="999999" w:sz="1"/>
              <w:bottom w:val="single" w:color="999999" w:sz="1"/>
              <w:right w:val="single" w:color="999999" w:sz="1"/>
            </w:tcBorders>
            <w:shd w:fill="D6E4F0" w:val="clear"/>
            <w:tcMar>
              <w:top w:type="dxa" w:w="80"/>
              <w:left w:type="dxa" w:w="120"/>
              <w:bottom w:type="dxa" w:w="80"/>
              <w:right w:type="dxa" w:w="120"/>
            </w:tcMar>
          </w:tcPr>
          <w:p>
            <w:r>
              <w:rPr>
                <w:rFonts w:ascii="Arial" w:cs="Arial" w:eastAsia="Arial" w:hAnsi="Arial"/>
                <w:b/>
                <w:bCs/>
                <w:sz w:val="20"/>
                <w:szCs w:val="20"/>
              </w:rPr>
              <w:t xml:space="preserve">Work Item A</w:t>
            </w:r>
          </w:p>
        </w:tc>
        <w:tc>
          <w:tcPr>
            <w:tcW w:type="dxa" w:w="2600"/>
            <w:tcBorders>
              <w:top w:val="single" w:color="999999" w:sz="1"/>
              <w:left w:val="single" w:color="999999" w:sz="1"/>
              <w:bottom w:val="single" w:color="999999" w:sz="1"/>
              <w:right w:val="single" w:color="999999" w:sz="1"/>
            </w:tcBorders>
            <w:shd w:fill="D6E4F0" w:val="clear"/>
            <w:tcMar>
              <w:top w:type="dxa" w:w="80"/>
              <w:left w:type="dxa" w:w="120"/>
              <w:bottom w:type="dxa" w:w="80"/>
              <w:right w:type="dxa" w:w="120"/>
            </w:tcMar>
          </w:tcPr>
          <w:p>
            <w:r>
              <w:rPr>
                <w:rFonts w:ascii="Arial" w:cs="Arial" w:eastAsia="Arial" w:hAnsi="Arial"/>
                <w:b w:val="false"/>
                <w:bCs w:val="false"/>
                <w:sz w:val="20"/>
                <w:szCs w:val="20"/>
              </w:rPr>
              <w:t xml:space="preserve">Topology-First Network Architecture</w:t>
            </w:r>
          </w:p>
        </w:tc>
        <w:tc>
          <w:tcPr>
            <w:tcW w:type="dxa" w:w="5638"/>
            <w:tcBorders>
              <w:top w:val="single" w:color="999999" w:sz="1"/>
              <w:left w:val="single" w:color="999999" w:sz="1"/>
              <w:bottom w:val="single" w:color="999999" w:sz="1"/>
              <w:right w:val="single" w:color="999999" w:sz="1"/>
            </w:tcBorders>
            <w:shd w:fill="D6E4F0" w:val="clear"/>
            <w:tcMar>
              <w:top w:type="dxa" w:w="80"/>
              <w:left w:type="dxa" w:w="120"/>
              <w:bottom w:type="dxa" w:w="80"/>
              <w:right w:type="dxa" w:w="120"/>
            </w:tcMar>
          </w:tcPr>
          <w:p>
            <w:r>
              <w:rPr>
                <w:rFonts w:ascii="Arial" w:cs="Arial" w:eastAsia="Arial" w:hAnsi="Arial"/>
                <w:b w:val="false"/>
                <w:bCs w:val="false"/>
                <w:sz w:val="20"/>
                <w:szCs w:val="20"/>
              </w:rPr>
              <w:t xml:space="preserve">Formal definition of pre-coordinate topological space; five polyhedral primitives as network grammar; super-adjacency matrix structural model.</w:t>
            </w:r>
          </w:p>
        </w:tc>
      </w:tr>
      <w:tr>
        <w:tc>
          <w:tcPr>
            <w:tcW w:type="dxa" w:w="14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bCs/>
                <w:sz w:val="20"/>
                <w:szCs w:val="20"/>
              </w:rPr>
              <w:t xml:space="preserve">Work Item B</w:t>
            </w:r>
          </w:p>
        </w:tc>
        <w:tc>
          <w:tcPr>
            <w:tcW w:type="dxa" w:w="2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Optical-Native E2E Connectivity</w:t>
            </w:r>
          </w:p>
        </w:tc>
        <w:tc>
          <w:tcPr>
            <w:tcW w:type="dxa" w:w="5638"/>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Physically isolated multi-core optical path architecture; MOCT-class hardware for deterministic parallel connectivity; replacement of packet-switched transport.</w:t>
            </w:r>
          </w:p>
        </w:tc>
      </w:tr>
      <w:tr>
        <w:tc>
          <w:tcPr>
            <w:tcW w:type="dxa" w:w="140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tcPr>
          <w:p>
            <w:r>
              <w:rPr>
                <w:rFonts w:ascii="Arial" w:cs="Arial" w:eastAsia="Arial" w:hAnsi="Arial"/>
                <w:b/>
                <w:bCs/>
                <w:sz w:val="20"/>
                <w:szCs w:val="20"/>
              </w:rPr>
              <w:t xml:space="preserve">Work Item E</w:t>
            </w:r>
          </w:p>
        </w:tc>
        <w:tc>
          <w:tcPr>
            <w:tcW w:type="dxa" w:w="260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Mathematical Framework</w:t>
            </w:r>
          </w:p>
        </w:tc>
        <w:tc>
          <w:tcPr>
            <w:tcW w:type="dxa" w:w="5638"/>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Multi-layer graph model; Q⁷ hypercube mapping; non-collision constraint; bisection bandwidth 2⁶=64 as formal structural foundations.</w:t>
            </w:r>
          </w:p>
        </w:tc>
      </w:tr>
    </w:tbl>
    <w:p>
      <w:pPr>
        <w:spacing w:before="60" w:after="60"/>
      </w:pPr>
      <w:r>
        <w:t xml:space="preserve"/>
      </w:r>
    </w:p>
    <w:p>
      <w:pPr>
        <w:pStyle w:val="Heading1"/>
        <w:spacing w:before="280" w:after="120"/>
      </w:pPr>
      <w:r>
        <w:rPr>
          <w:rFonts w:ascii="Arial" w:cs="Arial" w:eastAsia="Arial" w:hAnsi="Arial"/>
          <w:b/>
          <w:bCs/>
          <w:color w:val="003087"/>
          <w:sz w:val="26"/>
          <w:szCs w:val="26"/>
        </w:rPr>
        <w:t xml:space="preserve">6.  Conclusion</w:t>
      </w:r>
    </w:p>
    <w:p>
      <w:pPr>
        <w:spacing w:before="80" w:after="80"/>
        <w:jc w:val="left"/>
      </w:pPr>
      <w:r>
        <w:rPr>
          <w:rFonts w:ascii="Arial" w:cs="Arial" w:eastAsia="Arial" w:hAnsi="Arial"/>
          <w:sz w:val="20"/>
          <w:szCs w:val="20"/>
        </w:rPr>
        <w:t xml:space="preserve">This contribution presents Velsanet Work Items A, B, and E as a coherent architectural foundation for IMT-2030 and beyond. By defining network space topologically prior to addressing, eliminating packet switching in favour of physically isolated parallel optical cores, and providing a rigorous mathematical framework, Velsanet addresses fundamental limitations of conventional Internet architecture at the design level.</w:t>
      </w:r>
    </w:p>
    <w:p>
      <w:pPr>
        <w:spacing w:before="60" w:after="60"/>
      </w:pPr>
      <w:r>
        <w:t xml:space="preserve"/>
      </w:r>
    </w:p>
    <w:p>
      <w:pPr>
        <w:spacing w:before="80" w:after="80"/>
        <w:jc w:val="left"/>
      </w:pPr>
      <w:r>
        <w:rPr>
          <w:rFonts w:ascii="Arial" w:cs="Arial" w:eastAsia="Arial" w:hAnsi="Arial"/>
          <w:sz w:val="20"/>
          <w:szCs w:val="20"/>
        </w:rPr>
        <w:t xml:space="preserve">We respectfully request Study Group 13 to consider Work Items A, B, and E for inclusion in the Q22/13 study programme and invite member states, sector members, and associate members to engage in collaborative research and standardization activities.</w:t>
      </w:r>
    </w:p>
    <w:p>
      <w:pPr>
        <w:spacing w:before="60" w:after="60"/>
      </w:pPr>
      <w:r>
        <w:t xml:space="preserve"/>
      </w:r>
    </w:p>
    <w:p>
      <w:pPr>
        <w:pStyle w:val="Heading1"/>
        <w:spacing w:before="280" w:after="120"/>
      </w:pPr>
      <w:r>
        <w:rPr>
          <w:rFonts w:ascii="Arial" w:cs="Arial" w:eastAsia="Arial" w:hAnsi="Arial"/>
          <w:b/>
          <w:bCs/>
          <w:color w:val="003087"/>
          <w:sz w:val="26"/>
          <w:szCs w:val="26"/>
        </w:rPr>
        <w:t xml:space="preserve">References</w:t>
      </w:r>
    </w:p>
    <w:p>
      <w:pPr>
        <w:pStyle w:val="ListParagraph"/>
        <w:numPr>
          <w:ilvl w:val="0"/>
          <w:numId w:val="2"/>
        </w:numPr>
        <w:spacing w:before="60" w:after="60"/>
      </w:pPr>
      <w:r>
        <w:rPr>
          <w:rFonts w:ascii="Arial" w:cs="Arial" w:eastAsia="Arial" w:hAnsi="Arial"/>
          <w:sz w:val="20"/>
          <w:szCs w:val="20"/>
        </w:rPr>
        <w:t xml:space="preserve">[1] Velsanet Network White Paper #01 v2.0 — Network Architecture Overview</w:t>
      </w:r>
    </w:p>
    <w:p>
      <w:pPr>
        <w:pStyle w:val="ListParagraph"/>
        <w:numPr>
          <w:ilvl w:val="0"/>
          <w:numId w:val="2"/>
        </w:numPr>
        <w:spacing w:before="60" w:after="60"/>
      </w:pPr>
      <w:r>
        <w:rPr>
          <w:rFonts w:ascii="Arial" w:cs="Arial" w:eastAsia="Arial" w:hAnsi="Arial"/>
          <w:sz w:val="20"/>
          <w:szCs w:val="20"/>
        </w:rPr>
        <w:t xml:space="preserve">[2] Velsanet Spatial Genesis White Paper #05 v1.0 — Pre-Coordinate Topological Space</w:t>
      </w:r>
    </w:p>
    <w:p>
      <w:pPr>
        <w:pStyle w:val="ListParagraph"/>
        <w:numPr>
          <w:ilvl w:val="0"/>
          <w:numId w:val="2"/>
        </w:numPr>
        <w:spacing w:before="60" w:after="60"/>
      </w:pPr>
      <w:r>
        <w:rPr>
          <w:rFonts w:ascii="Arial" w:cs="Arial" w:eastAsia="Arial" w:hAnsi="Arial"/>
          <w:sz w:val="20"/>
          <w:szCs w:val="20"/>
        </w:rPr>
        <w:t xml:space="preserve">[3] Velsanet Mathematical White Paper #07 v1.1 — Mathematical Structural Framework</w:t>
      </w:r>
    </w:p>
    <w:p>
      <w:pPr>
        <w:pStyle w:val="ListParagraph"/>
        <w:numPr>
          <w:ilvl w:val="0"/>
          <w:numId w:val="2"/>
        </w:numPr>
        <w:spacing w:before="60" w:after="60"/>
      </w:pPr>
      <w:r>
        <w:rPr>
          <w:rFonts w:ascii="Arial" w:cs="Arial" w:eastAsia="Arial" w:hAnsi="Arial"/>
          <w:sz w:val="20"/>
          <w:szCs w:val="20"/>
        </w:rPr>
        <w:t xml:space="preserve">[4] Velsanet Multi-Optical-Core Transceiver White Paper #03 v1.1 — MOCT Architecture</w:t>
      </w:r>
    </w:p>
    <w:p>
      <w:pPr>
        <w:pStyle w:val="ListParagraph"/>
        <w:numPr>
          <w:ilvl w:val="0"/>
          <w:numId w:val="2"/>
        </w:numPr>
        <w:spacing w:before="60" w:after="60"/>
      </w:pPr>
      <w:r>
        <w:rPr>
          <w:rFonts w:ascii="Arial" w:cs="Arial" w:eastAsia="Arial" w:hAnsi="Arial"/>
          <w:sz w:val="20"/>
          <w:szCs w:val="20"/>
        </w:rPr>
        <w:t xml:space="preserve">[5] Velsanet Foundation White Paper #12 v1.1 — Structural Critique of Internet Architecture</w:t>
      </w:r>
    </w:p>
    <w:p>
      <w:pPr>
        <w:pStyle w:val="ListParagraph"/>
        <w:numPr>
          <w:ilvl w:val="0"/>
          <w:numId w:val="2"/>
        </w:numPr>
        <w:spacing w:before="60" w:after="60"/>
      </w:pPr>
      <w:r>
        <w:rPr>
          <w:rFonts w:ascii="Arial" w:cs="Arial" w:eastAsia="Arial" w:hAnsi="Arial"/>
          <w:sz w:val="20"/>
          <w:szCs w:val="20"/>
        </w:rPr>
        <w:t xml:space="preserve">[6] ITU-T Y.3001 (2011) — Future Networks: Objectives and Design Goals</w:t>
      </w:r>
    </w:p>
    <w:p>
      <w:pPr>
        <w:pStyle w:val="ListParagraph"/>
        <w:numPr>
          <w:ilvl w:val="0"/>
          <w:numId w:val="2"/>
        </w:numPr>
        <w:spacing w:before="60" w:after="60"/>
      </w:pPr>
      <w:r>
        <w:rPr>
          <w:rFonts w:ascii="Arial" w:cs="Arial" w:eastAsia="Arial" w:hAnsi="Arial"/>
          <w:sz w:val="20"/>
          <w:szCs w:val="20"/>
        </w:rPr>
        <w:t xml:space="preserve">[7] ITU-R M.2160 (2023) — Framework and Overall Objectives of IMT-2030</w:t>
      </w:r>
    </w:p>
    <w:p>
      <w:pPr>
        <w:spacing w:before="60" w:after="6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999999" w:sz="1"/>
              <w:left w:val="single" w:color="999999" w:sz="1"/>
              <w:bottom w:val="single" w:color="999999" w:sz="1"/>
              <w:right w:val="single" w:color="999999" w:sz="1"/>
            </w:tcBorders>
            <w:shd w:fill="F2F2F2" w:val="clear"/>
            <w:tcMar>
              <w:top w:type="dxa" w:w="120"/>
              <w:left w:type="dxa" w:w="200"/>
              <w:bottom w:type="dxa" w:w="120"/>
              <w:right w:type="dxa" w:w="200"/>
            </w:tcMar>
          </w:tcPr>
          <w:p>
            <w:r>
              <w:rPr>
                <w:rFonts w:ascii="Arial" w:cs="Arial" w:eastAsia="Arial" w:hAnsi="Arial"/>
                <w:b/>
                <w:bCs/>
                <w:color w:val="003087"/>
                <w:sz w:val="22"/>
                <w:szCs w:val="22"/>
              </w:rPr>
              <w:t xml:space="preserve">Contact Information</w:t>
            </w:r>
          </w:p>
          <w:p>
            <w:pPr>
              <w:spacing w:before="60" w:after="60"/>
            </w:pPr>
            <w:r>
              <w:t xml:space="preserve"/>
            </w:r>
          </w:p>
          <w:p>
            <w:r>
              <w:rPr>
                <w:rFonts w:ascii="Arial" w:cs="Arial" w:eastAsia="Arial" w:hAnsi="Arial"/>
                <w:sz w:val="20"/>
                <w:szCs w:val="20"/>
              </w:rPr>
              <w:t xml:space="preserve">Velsanet Architecture Group</w:t>
            </w:r>
          </w:p>
          <w:p>
            <w:r>
              <w:rPr>
                <w:rFonts w:ascii="Arial" w:cs="Arial" w:eastAsia="Arial" w:hAnsi="Arial"/>
                <w:sz w:val="20"/>
                <w:szCs w:val="20"/>
              </w:rPr>
              <w:t xml:space="preserve">Velsanet Research Institute (Proposed) — Republic of Korea</w:t>
            </w:r>
          </w:p>
          <w:p>
            <w:r>
              <w:rPr>
                <w:rFonts w:ascii="Arial" w:cs="Arial" w:eastAsia="Arial" w:hAnsi="Arial"/>
                <w:sz w:val="20"/>
                <w:szCs w:val="20"/>
              </w:rPr>
              <w:t xml:space="preserve">GitHub: github.com/joa337/velsanet-whitepapers</w:t>
            </w:r>
          </w:p>
        </w:tc>
      </w:tr>
    </w:tbl>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3087" w:sz="4" w:space="1"/>
      </w:pBdr>
      <w:tabs>
        <w:tab w:val="right" w:pos="8800"/>
      </w:tabs>
    </w:pPr>
    <w:r>
      <w:rPr>
        <w:rFonts w:ascii="Arial" w:cs="Arial" w:eastAsia="Arial" w:hAnsi="Arial"/>
        <w:color w:val="666666"/>
        <w:sz w:val="16"/>
        <w:szCs w:val="16"/>
      </w:rPr>
      <w:t xml:space="preserve">Velsanet Architecture Group | Republic of Korea | 2026</w:t>
    </w:r>
    <w:r>
      <w:rPr>
        <w:rFonts w:ascii="Arial" w:cs="Arial" w:eastAsia="Arial" w:hAnsi="Arial"/>
        <w:color w:val="666666"/>
        <w:sz w:val="16"/>
        <w:szCs w:val="16"/>
      </w:rPr>
      <w:t xml:space="preserve">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3087" w:sz="6" w:space="1"/>
      </w:pBdr>
      <w:tabs>
        <w:tab w:val="right" w:pos="8800"/>
      </w:tabs>
    </w:pPr>
    <w:r>
      <w:rPr>
        <w:rFonts w:ascii="Arial" w:cs="Arial" w:eastAsia="Arial" w:hAnsi="Arial"/>
        <w:color w:val="666666"/>
        <w:sz w:val="18"/>
        <w:szCs w:val="18"/>
      </w:rPr>
      <w:t xml:space="preserve">ITU-T Study Group 13 — Contribution</w:t>
    </w:r>
    <w:r>
      <w:rPr>
        <w:rFonts w:ascii="Arial" w:cs="Arial" w:eastAsia="Arial" w:hAnsi="Arial"/>
        <w:color w:val="666666"/>
        <w:sz w:val="18"/>
        <w:szCs w:val="18"/>
      </w:rPr>
      <w:t xml:space="preserve">		COM13-C-XXXX-E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20"/>
      <w:outlineLvl w:val="0"/>
    </w:pPr>
    <w:rPr>
      <w:rFonts w:ascii="Arial" w:cs="Arial" w:eastAsia="Arial" w:hAnsi="Arial"/>
      <w:b/>
      <w:bCs/>
      <w:color w:val="003087"/>
      <w:sz w:val="26"/>
      <w:szCs w:val="26"/>
    </w:rPr>
  </w:style>
  <w:style w:type="paragraph" w:styleId="Heading2">
    <w:name w:val="Heading 2"/>
    <w:basedOn w:val="Normal"/>
    <w:next w:val="Normal"/>
    <w:qFormat/>
    <w:pPr>
      <w:spacing w:before="200" w:after="80"/>
      <w:outlineLvl w:val="1"/>
    </w:pPr>
    <w:rPr>
      <w:rFonts w:ascii="Arial" w:cs="Arial" w:eastAsia="Arial" w:hAnsi="Arial"/>
      <w:b/>
      <w:bCs/>
      <w:color w:val="1F497D"/>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2026-03-17T13:18:56.792Z</dcterms:created>
  <dcterms:modified xsi:type="dcterms:W3CDTF">2026-03-17T13:18:56.793Z</dcterms:modified>
</cp:coreProperties>
</file>

<file path=docProps/custom.xml><?xml version="1.0" encoding="utf-8"?>
<Properties xmlns="http://schemas.openxmlformats.org/officeDocument/2006/custom-properties" xmlns:vt="http://schemas.openxmlformats.org/officeDocument/2006/docPropsVTypes"/>
</file>