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r>
        <w:t xml:space="preserve"/>
      </w:r>
    </w:p>
    <w:p>
      <w:pPr>
        <w:spacing w:before="0" w:after="60"/>
        <w:jc w:val="center"/>
      </w:pPr>
      <w:r>
        <w:rPr>
          <w:rFonts w:ascii="Arial" w:cs="Arial" w:eastAsia="Arial" w:hAnsi="Arial"/>
          <w:b/>
          <w:bCs/>
          <w:caps/>
          <w:color w:val="1BA8C8"/>
          <w:sz w:val="20"/>
          <w:szCs w:val="20"/>
        </w:rPr>
        <w:t xml:space="preserve">VELSANET ARCHITECTURE GROUP</w:t>
      </w:r>
    </w:p>
    <w:p>
      <w:pPr>
        <w:spacing w:before="0" w:after="30"/>
        <w:jc w:val="center"/>
      </w:pPr>
      <w:r>
        <w:rPr>
          <w:rFonts w:ascii="Arial" w:cs="Arial" w:eastAsia="Arial" w:hAnsi="Arial"/>
          <w:i/>
          <w:iCs/>
          <w:color w:val="4A5568"/>
          <w:sz w:val="18"/>
          <w:szCs w:val="18"/>
        </w:rPr>
        <w:t xml:space="preserve">Executive Architecture Brief  ·  Confidential — For C-Suite Distribution</w:t>
      </w:r>
    </w:p>
    <w:p>
      <w:pPr>
        <w:spacing w:before="80" w:after="0"/>
      </w:pPr>
      <w:r>
        <w:t xml:space="preserve"/>
      </w:r>
    </w:p>
    <w:p>
      <w:pPr>
        <w:pBdr>
          <w:top w:val="single" w:color="1BA8C8" w:sz="10"/>
          <w:bottom w:val="single" w:color="1BA8C8" w:sz="10"/>
        </w:pBdr>
        <w:spacing w:before="0" w:after="50"/>
        <w:jc w:val="center"/>
      </w:pPr>
      <w:r>
        <w:rPr>
          <w:rFonts w:ascii="Arial" w:cs="Arial" w:eastAsia="Arial" w:hAnsi="Arial"/>
          <w:b/>
          <w:bCs/>
          <w:color w:val="0D1B3E"/>
          <w:sz w:val="60"/>
          <w:szCs w:val="60"/>
        </w:rPr>
        <w:t xml:space="preserve">Velsanet Hyperscale AI Datacenter</w:t>
      </w:r>
    </w:p>
    <w:p>
      <w:pPr>
        <w:spacing w:before="20" w:after="40"/>
        <w:jc w:val="center"/>
      </w:pPr>
      <w:r>
        <w:rPr>
          <w:rFonts w:ascii="Arial" w:cs="Arial" w:eastAsia="Arial" w:hAnsi="Arial"/>
          <w:b/>
          <w:bCs/>
          <w:color w:val="1A4B8C"/>
          <w:sz w:val="34"/>
          <w:szCs w:val="34"/>
        </w:rPr>
        <w:t xml:space="preserve">Seoul Metropolitan Region — 1 GW Deployment Architecture</w:t>
      </w:r>
    </w:p>
    <w:p>
      <w:pPr>
        <w:spacing w:before="0" w:after="0"/>
        <w:jc w:val="center"/>
      </w:pPr>
      <w:r>
        <w:rPr>
          <w:rFonts w:ascii="Arial" w:cs="Arial" w:eastAsia="Arial" w:hAnsi="Arial"/>
          <w:i/>
          <w:iCs/>
          <w:color w:val="4A5568"/>
          <w:sz w:val="26"/>
          <w:szCs w:val="26"/>
        </w:rPr>
        <w:t xml:space="preserve">A Topology-Native AI Intelligence Organism at Hyperscale:</w:t>
      </w:r>
    </w:p>
    <w:p>
      <w:pPr>
        <w:spacing w:before="0" w:after="0"/>
        <w:jc w:val="center"/>
      </w:pPr>
      <w:r>
        <w:rPr>
          <w:rFonts w:ascii="Arial" w:cs="Arial" w:eastAsia="Arial" w:hAnsi="Arial"/>
          <w:i/>
          <w:iCs/>
          <w:color w:val="4A5568"/>
          <w:sz w:val="26"/>
          <w:szCs w:val="26"/>
        </w:rPr>
        <w:t xml:space="preserve">Replacing the AWS/Cloud Paradigm with Structural Intelligence</w:t>
      </w:r>
    </w:p>
    <w:p>
      <w:pPr>
        <w:spacing w:before="600" w:after="0"/>
      </w:pPr>
      <w:r>
        <w:t xml:space="preserve"/>
      </w:r>
    </w:p>
    <w:p>
      <w:pPr>
        <w:jc w:val="center"/>
      </w:pPr>
      <w:r>
        <w:rPr>
          <w:rFonts w:ascii="Arial" w:cs="Arial" w:eastAsia="Arial" w:hAnsi="Arial"/>
          <w:color w:val="4A5568"/>
          <w:sz w:val="20"/>
          <w:szCs w:val="20"/>
        </w:rPr>
        <w:t xml:space="preserve">Version 1.0  ·  March 2026  ·  Republic of Korea</w:t>
      </w:r>
    </w:p>
    <w:p>
      <w:pPr>
        <w:spacing w:before="40" w:after="0"/>
        <w:jc w:val="center"/>
      </w:pPr>
      <w:r>
        <w:rPr>
          <w:rFonts w:ascii="Arial" w:cs="Arial" w:eastAsia="Arial" w:hAnsi="Arial"/>
          <w:b/>
          <w:bCs/>
          <w:color w:val="2E6DB4"/>
          <w:sz w:val="20"/>
          <w:szCs w:val="20"/>
        </w:rPr>
        <w:t xml:space="preserve">Prepared for: Chief AI Officer / Chief Technology Officer / Board of Directors</w:t>
      </w:r>
    </w:p>
    <w:p>
      <w:r>
        <w:br w:type="page"/>
      </w:r>
    </w:p>
    <w:p>
      <w:pPr>
        <w:pStyle w:val="Heading1"/>
        <w:spacing w:before="500" w:after="200"/>
      </w:pPr>
      <w:r>
        <w:rPr>
          <w:rFonts w:ascii="Arial" w:cs="Arial" w:eastAsia="Arial" w:hAnsi="Arial"/>
          <w:b/>
          <w:bCs/>
          <w:color w:val="0D1B3E"/>
          <w:sz w:val="44"/>
          <w:szCs w:val="44"/>
        </w:rPr>
        <w:t xml:space="preserve">Executive Summary</w:t>
      </w:r>
    </w:p>
    <w:p>
      <w:pPr>
        <w:pBdr>
          <w:bottom w:val="single" w:color="2E6DB4" w:sz="6" w:space="1"/>
        </w:pBdr>
        <w:spacing w:before="200" w:after="200"/>
      </w:pPr>
      <w:r>
        <w:t xml:space="preserve"/>
      </w:r>
    </w:p>
    <w:p>
      <w:pPr>
        <w:pBdr>
          <w:top w:val="none" w:color="FFFFFF" w:sz="0"/>
          <w:left w:val="thick" w:color="1BA8C8" w:sz="12" w:space="8"/>
          <w:bottom w:val="none" w:color="FFFFFF" w:sz="0"/>
          <w:right w:val="none" w:color="FFFFFF" w:sz="0"/>
        </w:pBdr>
        <w:spacing w:before="160" w:after="160"/>
        <w:ind w:left="360"/>
      </w:pPr>
      <w:r>
        <w:rPr>
          <w:rFonts w:ascii="Arial" w:cs="Arial" w:eastAsia="Arial" w:hAnsi="Arial"/>
          <w:b/>
          <w:bCs/>
          <w:i/>
          <w:iCs/>
          <w:color w:val="0D1B3E"/>
          <w:sz w:val="23"/>
          <w:szCs w:val="23"/>
        </w:rPr>
        <w:t xml:space="preserve">This document presents the architectural case for deploying Velsanet as a hyperscale AI intelligence organism in the Seoul Metropolitan Region — at the scale of AWS's largest single-site deployment in South Korea (1 GW, SK–AWS Ulsan campus). It is written for Chief AI Officers, Chief Technology Officers, and Board-level decision-makers who are evaluating next-generation AI infrastructure beyond the conventional cloud paradigm.</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The Core Argument</w:t>
      </w:r>
    </w:p>
    <w:p>
      <w:pPr>
        <w:spacing w:before="80" w:after="100"/>
      </w:pPr>
      <w:r>
        <w:rPr>
          <w:rFonts w:ascii="Arial" w:cs="Arial" w:eastAsia="Arial" w:hAnsi="Arial"/>
          <w:sz w:val="22"/>
          <w:szCs w:val="22"/>
        </w:rPr>
        <w:t xml:space="preserve">The Seoul Metropolitan Region is investing $5.1 billion (7 trillion KRW) in a 1-gigawatt AWS-powered AI datacenter in Ulsan — the largest single-site compute project in South Korean history. This facility, scheduled for completion in 2029, will house approximately 70,000 racks consuming up to 120 kW each, serving AI inference workloads across Northeast Asia.</w:t>
      </w:r>
    </w:p>
    <w:p>
      <w:pPr>
        <w:spacing w:before="60" w:after="0"/>
      </w:pPr>
      <w:r>
        <w:t xml:space="preserve"/>
      </w:r>
    </w:p>
    <w:p>
      <w:pPr>
        <w:spacing w:before="80" w:after="100"/>
      </w:pPr>
      <w:r>
        <w:rPr>
          <w:rFonts w:ascii="Arial" w:cs="Arial" w:eastAsia="Arial" w:hAnsi="Arial"/>
          <w:sz w:val="22"/>
          <w:szCs w:val="22"/>
        </w:rPr>
        <w:t xml:space="preserve">Velsanet proposes a structurally different answer to the same question. Rather than aggregating GPU racks connected by software-scheduled electrical fabric, Velsanet constructs a single, topology-native AI organism — in which every household, every enterprise, and every public infrastructure endpoint in the Seoul region participates as a structurally bound node in a living, self-aware intelligence network.</w:t>
      </w:r>
    </w:p>
    <w:p>
      <w:pPr>
        <w:spacing w:before="60" w:after="0"/>
      </w:pPr>
      <w:r>
        <w:t xml:space="preserve"/>
      </w:r>
    </w:p>
    <w:p>
      <w:pPr>
        <w:spacing w:before="80" w:after="100"/>
      </w:pPr>
      <w:r>
        <w:rPr>
          <w:rFonts w:ascii="Arial" w:cs="Arial" w:eastAsia="Arial" w:hAnsi="Arial"/>
          <w:sz w:val="22"/>
          <w:szCs w:val="22"/>
        </w:rPr>
        <w:t xml:space="preserve">The result is not a faster datacenter. It is a different class of infrastructure entirely.</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Key Figures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Parameter</w:t>
            </w:r>
          </w:p>
        </w:tc>
        <w:tc>
          <w:tcPr>
            <w:tcW w:type="dxa" w:w="28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AWS / Blackwell Paradigm</w:t>
            </w:r>
          </w:p>
        </w:tc>
        <w:tc>
          <w:tcPr>
            <w:tcW w:type="dxa" w:w="28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Velsanet 1 GW Deployment</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Target site</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Ulsan (SK–AWS, 2029)</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Seoul Metro + Ulsan node</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Power (total)</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1,000 MW</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~400–500 MW (est.)</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Subscriber optical cores</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N/A (server-based)</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8,000,000 (400万 households × 2)</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PAI agents (concurrent)</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~0 (external AI overlay)</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4,000,000+ (structural)</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AI layer</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External (software stack)</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T4→H6→O8→D12→I20 native</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Parallel E2E paths</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0 (packet switching)</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15,200+ per I20 cluster</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Inference latency</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0.5–2 ms</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&lt;0.1 ms (deterministic)</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Safety model</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Software policy (post-hoc)</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Structural invariant (hardware)</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Public / private separation</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Policy-based (software)</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Physical optical core (hardware)</w:t>
            </w:r>
          </w:p>
        </w:tc>
      </w:tr>
    </w:tbl>
    <w:p>
      <w:pPr>
        <w:spacing w:before="80" w:after="0"/>
      </w:pPr>
      <w:r>
        <w:t xml:space="preserve"/>
      </w:r>
    </w:p>
    <w:p>
      <w:pPr>
        <w:spacing w:before="80" w:after="100"/>
      </w:pPr>
      <w:r>
        <w:rPr>
          <w:rFonts w:ascii="Arial" w:cs="Arial" w:eastAsia="Arial" w:hAnsi="Arial"/>
          <w:i/>
          <w:iCs/>
          <w:color w:val="4A5568"/>
          <w:sz w:val="18"/>
          <w:szCs w:val="18"/>
        </w:rPr>
        <w:t xml:space="preserve">* All Velsanet performance figures are architectural projections based on structural principles. Hardware validation required.</w:t>
      </w:r>
    </w:p>
    <w:p>
      <w:r>
        <w:br w:type="page"/>
      </w:r>
    </w:p>
    <w:p>
      <w:pPr>
        <w:pStyle w:val="Heading1"/>
        <w:spacing w:before="500" w:after="200"/>
      </w:pPr>
      <w:r>
        <w:rPr>
          <w:rFonts w:ascii="Arial" w:cs="Arial" w:eastAsia="Arial" w:hAnsi="Arial"/>
          <w:b/>
          <w:bCs/>
          <w:color w:val="0D1B3E"/>
          <w:sz w:val="44"/>
          <w:szCs w:val="44"/>
        </w:rPr>
        <w:t xml:space="preserve">1.  The Seoul AI Infrastructure Context</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1.1  What AWS Is Building in South Korea</w:t>
      </w:r>
    </w:p>
    <w:p>
      <w:pPr>
        <w:spacing w:before="80" w:after="100"/>
      </w:pPr>
      <w:r>
        <w:rPr>
          <w:rFonts w:ascii="Arial" w:cs="Arial" w:eastAsia="Arial" w:hAnsi="Arial"/>
          <w:sz w:val="22"/>
          <w:szCs w:val="22"/>
        </w:rPr>
        <w:t xml:space="preserve">AWS currently operates the Asia Pacific (Seoul) Region with four Availability Zones, serving tens of thousands of enterprise and government customers across Korea. The Seoul Metropolitan Area alone is forecast to reach 3.2 GW of datacenter capacity by 2027 — a 2.4-fold increase over 2023 levels, driven by AI inference demand.</w:t>
      </w:r>
    </w:p>
    <w:p>
      <w:pPr>
        <w:spacing w:before="60" w:after="0"/>
      </w:pPr>
      <w:r>
        <w:t xml:space="preserve"/>
      </w:r>
    </w:p>
    <w:p>
      <w:pPr>
        <w:spacing w:before="80" w:after="100"/>
      </w:pPr>
      <w:r>
        <w:rPr>
          <w:rFonts w:ascii="Arial" w:cs="Arial" w:eastAsia="Arial" w:hAnsi="Arial"/>
          <w:sz w:val="22"/>
          <w:szCs w:val="22"/>
        </w:rPr>
        <w:t xml:space="preserve">The SK Group–AWS Ulsan partnership represents the apex of this trajectory: a $5.1 billion, 1-gigawatt hyperscale AI datacenter, with 41 MW operational by November 2027 and full 1 GW capacity by February 2029. Each rack operates at 20–40 kW, with Schneider Electric and NVIDIA reference designs enabling liquid-cooled AI clusters up to 132 kW per rack for next-generation GPU workloads.</w:t>
      </w:r>
    </w:p>
    <w:p>
      <w:pPr>
        <w:spacing w:before="60" w:after="0"/>
      </w:pPr>
      <w:r>
        <w:t xml:space="preserve"/>
      </w:r>
    </w:p>
    <w:p>
      <w:pPr>
        <w:spacing w:before="80" w:after="100"/>
      </w:pPr>
      <w:r>
        <w:rPr>
          <w:rFonts w:ascii="Arial" w:cs="Arial" w:eastAsia="Arial" w:hAnsi="Arial"/>
          <w:sz w:val="22"/>
          <w:szCs w:val="22"/>
        </w:rPr>
        <w:t xml:space="preserve">This represents the best execution of the current paradigm: massive aggregation of GPU compute, connected by high-bandwidth electrical fabric (NVLink / InfiniBand), managed by software scheduling layers, cooled by industrial liquid systems.</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1.2  What This Paradigm Cannot Provide</w:t>
      </w:r>
    </w:p>
    <w:p>
      <w:pPr>
        <w:spacing w:before="80" w:after="100"/>
      </w:pPr>
      <w:r>
        <w:rPr>
          <w:rFonts w:ascii="Arial" w:cs="Arial" w:eastAsia="Arial" w:hAnsi="Arial"/>
          <w:sz w:val="22"/>
          <w:szCs w:val="22"/>
        </w:rPr>
        <w:t xml:space="preserve">The AWS/GPU model excels at batch AI training and cloud-served inference. It is structurally incapable of three things that define the next phase of AI:</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Structural AI sovereignty per household. Every Korean household subscribing to AWS-based AI services routes their personal data and AI context through a commercial cloud operator. The household is a consumer, not a structural participant.</w:t>
      </w:r>
    </w:p>
    <w:p>
      <w:pPr>
        <w:pStyle w:val="ListParagraph"/>
        <w:numPr>
          <w:ilvl w:val="0"/>
          <w:numId w:val="2"/>
        </w:numPr>
        <w:spacing w:before="60" w:after="60"/>
      </w:pPr>
      <w:r>
        <w:rPr>
          <w:rFonts w:ascii="Arial" w:cs="Arial" w:eastAsia="Arial" w:hAnsi="Arial"/>
          <w:sz w:val="22"/>
          <w:szCs w:val="22"/>
        </w:rPr>
        <w:t xml:space="preserve">Deterministic real-time AI at the edge. Cloud inference at 0.5–2 ms latency is insufficient for V2X automotive, surgical robotics, or real-time industrial control. Packet switching introduces irreducible jitter that no software optimization can eliminate.</w:t>
      </w:r>
    </w:p>
    <w:p>
      <w:pPr>
        <w:pStyle w:val="ListParagraph"/>
        <w:numPr>
          <w:ilvl w:val="0"/>
          <w:numId w:val="2"/>
        </w:numPr>
        <w:spacing w:before="60" w:after="60"/>
      </w:pPr>
      <w:r>
        <w:rPr>
          <w:rFonts w:ascii="Arial" w:cs="Arial" w:eastAsia="Arial" w:hAnsi="Arial"/>
          <w:sz w:val="22"/>
          <w:szCs w:val="22"/>
        </w:rPr>
        <w:t xml:space="preserve">AI as infrastructure, not service. AI on AWS is a billed service delivered over shared infrastructure. There is no architectural model in which AI is embedded in the physical network fabric itself — where the act of being connected is the act of being intelligent.</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1.3  The Velsanet Alternative Framing</w:t>
      </w:r>
    </w:p>
    <w:p>
      <w:pPr>
        <w:pBdr>
          <w:top w:val="none" w:color="FFFFFF" w:sz="0"/>
          <w:left w:val="thick" w:color="1BA8C8" w:sz="12" w:space="8"/>
          <w:bottom w:val="none" w:color="FFFFFF" w:sz="0"/>
          <w:right w:val="none" w:color="FFFFFF" w:sz="0"/>
        </w:pBdr>
        <w:spacing w:before="160" w:after="160"/>
        <w:ind w:left="360"/>
      </w:pPr>
      <w:r>
        <w:rPr>
          <w:rFonts w:ascii="Arial" w:cs="Arial" w:eastAsia="Arial" w:hAnsi="Arial"/>
          <w:b/>
          <w:bCs/>
          <w:i/>
          <w:iCs/>
          <w:color w:val="0D1B3E"/>
          <w:sz w:val="23"/>
          <w:szCs w:val="23"/>
        </w:rPr>
        <w:t xml:space="preserve">Velsanet does not propose to build a better datacenter. It proposes to make the Seoul Metropolitan Area itself into a single, topology-native AI organism — in which the network infrastructure IS the intelligence, and every connected household, enterprise, and public institution participates as a structural node.</w:t>
      </w:r>
    </w:p>
    <w:p>
      <w:pPr>
        <w:spacing w:before="80" w:after="0"/>
      </w:pPr>
      <w:r>
        <w:t xml:space="preserve"/>
      </w:r>
    </w:p>
    <w:p>
      <w:pPr>
        <w:spacing w:before="80" w:after="100"/>
      </w:pPr>
      <w:r>
        <w:rPr>
          <w:rFonts w:ascii="Arial" w:cs="Arial" w:eastAsia="Arial" w:hAnsi="Arial"/>
          <w:sz w:val="22"/>
          <w:szCs w:val="22"/>
        </w:rPr>
        <w:t xml:space="preserve">The 1 GW power target is not a ceiling for Velsanet's Seoul deployment — it is a reference benchmark. As the analysis in Section 4 shows, Velsanet achieves equivalent or greater AI throughput at approximately 400–500 MW, serving a structurally different function: not cloud compute for remote services, but an embedded intelligence fabric for 4 million households, 400,000 enterprises, and the full urban infrastructure of the Seoul region.</w:t>
      </w:r>
    </w:p>
    <w:p>
      <w:r>
        <w:br w:type="page"/>
      </w:r>
    </w:p>
    <w:p>
      <w:pPr>
        <w:pStyle w:val="Heading1"/>
        <w:spacing w:before="500" w:after="200"/>
      </w:pPr>
      <w:r>
        <w:rPr>
          <w:rFonts w:ascii="Arial" w:cs="Arial" w:eastAsia="Arial" w:hAnsi="Arial"/>
          <w:b/>
          <w:bCs/>
          <w:color w:val="0D1B3E"/>
          <w:sz w:val="44"/>
          <w:szCs w:val="44"/>
        </w:rPr>
        <w:t xml:space="preserve">2.  The T4 Subscriber Model — Optical Core as the Unit of Capacity</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2.1  The Fundamental Principle</w:t>
      </w:r>
    </w:p>
    <w:p>
      <w:pPr>
        <w:spacing w:before="80" w:after="100"/>
      </w:pPr>
      <w:r>
        <w:rPr>
          <w:rFonts w:ascii="Arial" w:cs="Arial" w:eastAsia="Arial" w:hAnsi="Arial"/>
          <w:sz w:val="22"/>
          <w:szCs w:val="22"/>
        </w:rPr>
        <w:t xml:space="preserve">In every other AI infrastructure model, capacity is measured in servers, GPU cores, or teraflops. In Velsanet, the fundamental unit of capacity is the optical core — because every connected entity (person, household, enterprise, device) occupies exactly one dedicated optical core in the physical fabric.</w:t>
      </w:r>
    </w:p>
    <w:p>
      <w:pPr>
        <w:spacing w:before="60" w:after="0"/>
      </w:pPr>
      <w:r>
        <w:t xml:space="preserve"/>
      </w:r>
    </w:p>
    <w:p>
      <w:pPr>
        <w:pBdr>
          <w:top w:val="none" w:color="FFFFFF" w:sz="0"/>
          <w:left w:val="thick" w:color="1A7A4A" w:sz="12" w:space="8"/>
          <w:bottom w:val="none" w:color="FFFFFF" w:sz="0"/>
          <w:right w:val="none" w:color="FFFFFF" w:sz="0"/>
        </w:pBdr>
        <w:spacing w:before="160" w:after="160"/>
        <w:ind w:left="360"/>
      </w:pPr>
      <w:r>
        <w:rPr>
          <w:rFonts w:ascii="Arial" w:cs="Arial" w:eastAsia="Arial" w:hAnsi="Arial"/>
          <w:b/>
          <w:bCs/>
          <w:i/>
          <w:iCs/>
          <w:color w:val="0D1B3E"/>
          <w:sz w:val="23"/>
          <w:szCs w:val="23"/>
        </w:rPr>
        <w:t xml:space="preserve">1 subscriber (household) = 1 T4 node = 1 subscriber face = 2 optical cores:
  Core 1: Public E2E Optical Core (7 public safety channels — disaster, fire, emergency, broadcast)
  Core 2: PAI-dedicated Optical Core (Personal AI sovereignty — 8 wireless channels, all household devices)</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2.2  Why Two Cores, Not One</w:t>
      </w:r>
    </w:p>
    <w:p>
      <w:pPr>
        <w:spacing w:before="80" w:after="100"/>
      </w:pPr>
      <w:r>
        <w:rPr>
          <w:rFonts w:ascii="Arial" w:cs="Arial" w:eastAsia="Arial" w:hAnsi="Arial"/>
          <w:sz w:val="22"/>
          <w:szCs w:val="22"/>
        </w:rPr>
        <w:t xml:space="preserve">White Paper #14 (City-level E2E Management Center) establishes the architectural basis for the dual-core structure at the household level. The separation is not a policy choice — it is a physical fact encoded at the optical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2400"/>
        <w:gridCol w:w="3600"/>
      </w:tblGrid>
      <w:tr>
        <w:tc>
          <w:tcPr>
            <w:tcW w:type="dxa" w:w="12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Core</w:t>
            </w:r>
          </w:p>
        </w:tc>
        <w:tc>
          <w:tcPr>
            <w:tcW w:type="dxa" w:w="216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Designation</w:t>
            </w:r>
          </w:p>
        </w:tc>
        <w:tc>
          <w:tcPr>
            <w:tcW w:type="dxa" w:w="24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Termination</w:t>
            </w:r>
          </w:p>
        </w:tc>
        <w:tc>
          <w:tcPr>
            <w:tcW w:type="dxa" w:w="36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Channel content</w:t>
            </w:r>
          </w:p>
        </w:tc>
      </w:tr>
      <w:tr>
        <w:tc>
          <w:tcPr>
            <w:tcW w:type="dxa" w:w="12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1A4B8C"/>
                <w:sz w:val="19"/>
                <w:szCs w:val="19"/>
              </w:rPr>
              <w:t xml:space="preserve">Core 1</w:t>
            </w:r>
          </w:p>
        </w:tc>
        <w:tc>
          <w:tcPr>
            <w:tcW w:type="dxa" w:w="21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Public E2E Optical Core</w:t>
            </w:r>
          </w:p>
        </w:tc>
        <w:tc>
          <w:tcPr>
            <w:tcW w:type="dxa" w:w="24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City-level E2E Management Center</w:t>
            </w:r>
          </w:p>
        </w:tc>
        <w:tc>
          <w:tcPr>
            <w:tcW w:type="dxa" w:w="36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Ch.1–7: Disaster alert, fire safety, emergency call, public broadcast, security linkage, environmental signal, governance reserve</w:t>
            </w:r>
          </w:p>
        </w:tc>
      </w:tr>
      <w:tr>
        <w:tc>
          <w:tcPr>
            <w:tcW w:type="dxa" w:w="12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5B21B6"/>
                <w:sz w:val="19"/>
                <w:szCs w:val="19"/>
              </w:rPr>
              <w:t xml:space="preserve">Core 2</w:t>
            </w:r>
          </w:p>
        </w:tc>
        <w:tc>
          <w:tcPr>
            <w:tcW w:type="dxa" w:w="21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PAI-dedicated Optical Core</w:t>
            </w:r>
          </w:p>
        </w:tc>
        <w:tc>
          <w:tcPr>
            <w:tcW w:type="dxa" w:w="24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PAI Device (Wireless Domain Anchor)</w:t>
            </w:r>
          </w:p>
        </w:tc>
        <w:tc>
          <w:tcPr>
            <w:tcW w:type="dxa" w:w="36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Ch.1: structural control · Ch.2–8: 8 wireless channels for PAI management of all household devices, sensors, interfaces</w:t>
            </w:r>
          </w:p>
        </w:tc>
      </w:tr>
    </w:tbl>
    <w:p>
      <w:pPr>
        <w:spacing w:before="80" w:after="0"/>
      </w:pPr>
      <w:r>
        <w:t xml:space="preserve"/>
      </w:r>
    </w:p>
    <w:p>
      <w:pPr>
        <w:spacing w:before="80" w:after="100"/>
      </w:pPr>
      <w:r>
        <w:rPr>
          <w:rFonts w:ascii="Arial" w:cs="Arial" w:eastAsia="Arial" w:hAnsi="Arial"/>
          <w:sz w:val="22"/>
          <w:szCs w:val="22"/>
        </w:rPr>
        <w:t xml:space="preserve">The two cores are physically and logically independent. Public safety operations cannot observe PAI activity. PAI cannot be influenced by the public domain. This structural boundary — enforced at the hardware level — is what makes Velsanet qualitatively different from any cloud-based AI service: personal AI sovereignty is not a privacy policy, it is a physical impossibility of violation.</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2.3  Seoul Metropolitan Subscriber Scale</w:t>
      </w:r>
    </w:p>
    <w:p>
      <w:pPr>
        <w:spacing w:before="80" w:after="100"/>
      </w:pPr>
      <w:r>
        <w:rPr>
          <w:rFonts w:ascii="Arial" w:cs="Arial" w:eastAsia="Arial" w:hAnsi="Arial"/>
          <w:sz w:val="22"/>
          <w:szCs w:val="22"/>
        </w:rPr>
        <w:t xml:space="preserve">The Seoul Metropolitan Area (Seoul + Incheon + Gyeonggi Province) comprises approximately: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Subscriber category</w:t>
            </w:r>
          </w:p>
        </w:tc>
        <w:tc>
          <w:tcPr>
            <w:tcW w:type="dxa" w:w="20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Count</w:t>
            </w:r>
          </w:p>
        </w:tc>
        <w:tc>
          <w:tcPr>
            <w:tcW w:type="dxa" w:w="20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T4 nodes</w:t>
            </w:r>
          </w:p>
        </w:tc>
        <w:tc>
          <w:tcPr>
            <w:tcW w:type="dxa" w:w="20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Optical cores required</w:t>
            </w:r>
          </w:p>
        </w:tc>
      </w:tr>
      <w:tr>
        <w:tc>
          <w:tcPr>
            <w:tcW w:type="dxa" w:w="32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Residential households</w:t>
            </w:r>
          </w:p>
        </w:tc>
        <w:tc>
          <w:tcPr>
            <w:tcW w:type="dxa" w:w="20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~4,000,000</w:t>
            </w:r>
          </w:p>
        </w:tc>
        <w:tc>
          <w:tcPr>
            <w:tcW w:type="dxa" w:w="20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4,000,000</w:t>
            </w:r>
          </w:p>
        </w:tc>
        <w:tc>
          <w:tcPr>
            <w:tcW w:type="dxa" w:w="200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8,000,000</w:t>
            </w:r>
          </w:p>
        </w:tc>
      </w:tr>
      <w:tr>
        <w:tc>
          <w:tcPr>
            <w:tcW w:type="dxa" w:w="32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Commercial enterprises (SME + large)</w:t>
            </w:r>
          </w:p>
        </w:tc>
        <w:tc>
          <w:tcPr>
            <w:tcW w:type="dxa" w:w="20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w:t>
            </w:r>
          </w:p>
        </w:tc>
        <w:tc>
          <w:tcPr>
            <w:tcW w:type="dxa" w:w="20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w:t>
            </w:r>
          </w:p>
        </w:tc>
        <w:tc>
          <w:tcPr>
            <w:tcW w:type="dxa" w:w="200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800,000+</w:t>
            </w:r>
          </w:p>
        </w:tc>
      </w:tr>
      <w:tr>
        <w:tc>
          <w:tcPr>
            <w:tcW w:type="dxa" w:w="32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Public infrastructure (gov, hospital, transport, utilities)</w:t>
            </w:r>
          </w:p>
        </w:tc>
        <w:tc>
          <w:tcPr>
            <w:tcW w:type="dxa" w:w="20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~50,000</w:t>
            </w:r>
          </w:p>
        </w:tc>
        <w:tc>
          <w:tcPr>
            <w:tcW w:type="dxa" w:w="20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50,000+</w:t>
            </w:r>
          </w:p>
        </w:tc>
        <w:tc>
          <w:tcPr>
            <w:tcW w:type="dxa" w:w="200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100,000+</w:t>
            </w:r>
          </w:p>
        </w:tc>
      </w:tr>
      <w:tr>
        <w:tc>
          <w:tcPr>
            <w:tcW w:type="dxa" w:w="32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6G base stations (H6 nodes, WP#22 model)</w:t>
            </w:r>
          </w:p>
        </w:tc>
        <w:tc>
          <w:tcPr>
            <w:tcW w:type="dxa" w:w="20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~900,000 (Seoul utility poles)</w:t>
            </w:r>
          </w:p>
        </w:tc>
        <w:tc>
          <w:tcPr>
            <w:tcW w:type="dxa" w:w="20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900,000 H6</w:t>
            </w:r>
          </w:p>
        </w:tc>
        <w:tc>
          <w:tcPr>
            <w:tcW w:type="dxa" w:w="200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43,200,000*</w:t>
            </w:r>
          </w:p>
        </w:tc>
      </w:tr>
      <w:tr>
        <w:tc>
          <w:tcPr>
            <w:tcW w:type="dxa" w:w="32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TOTAL (Phase 1: residential + enterprise)</w:t>
            </w:r>
          </w:p>
        </w:tc>
        <w:tc>
          <w:tcPr>
            <w:tcW w:type="dxa" w:w="20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~4,450,000 subscribers</w:t>
            </w:r>
          </w:p>
        </w:tc>
        <w:tc>
          <w:tcPr>
            <w:tcW w:type="dxa" w:w="20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~4,450,000 T4</w:t>
            </w:r>
          </w:p>
        </w:tc>
        <w:tc>
          <w:tcPr>
            <w:tcW w:type="dxa" w:w="20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~8,900,000 cores</w:t>
            </w:r>
          </w:p>
        </w:tc>
      </w:tr>
    </w:tbl>
    <w:p>
      <w:pPr>
        <w:spacing w:before="60" w:after="0"/>
      </w:pPr>
      <w:r>
        <w:t xml:space="preserve"/>
      </w:r>
    </w:p>
    <w:p>
      <w:pPr>
        <w:spacing w:before="80" w:after="100"/>
      </w:pPr>
      <w:r>
        <w:rPr>
          <w:rFonts w:ascii="Arial" w:cs="Arial" w:eastAsia="Arial" w:hAnsi="Arial"/>
          <w:i/>
          <w:iCs/>
          <w:color w:val="4A5568"/>
          <w:sz w:val="19"/>
          <w:szCs w:val="19"/>
        </w:rPr>
        <w:t xml:space="preserve">* H6 nodes serve as the optical domain entry for 6G RAN. Each H6 node (48-core MOCT ribbon, WP#23) provides 48 optical cores, supporting 48 simultaneous device connections per utility pole. 900,000 poles × 48 cores = 43.2 million wireless device connections across the Seoul metropolitan mesh.</w:t>
      </w:r>
    </w:p>
    <w:p>
      <w:r>
        <w:br w:type="page"/>
      </w:r>
    </w:p>
    <w:p>
      <w:pPr>
        <w:pStyle w:val="Heading1"/>
        <w:spacing w:before="500" w:after="200"/>
      </w:pPr>
      <w:r>
        <w:rPr>
          <w:rFonts w:ascii="Arial" w:cs="Arial" w:eastAsia="Arial" w:hAnsi="Arial"/>
          <w:b/>
          <w:bCs/>
          <w:color w:val="0D1B3E"/>
          <w:sz w:val="44"/>
          <w:szCs w:val="44"/>
        </w:rPr>
        <w:t xml:space="preserve">3.  The Velsanet Node Hierarchy at Seoul Scale</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3.1  Five-Layer Polyhedral Architecture</w:t>
      </w:r>
    </w:p>
    <w:p>
      <w:pPr>
        <w:spacing w:before="80" w:after="100"/>
      </w:pPr>
      <w:r>
        <w:rPr>
          <w:rFonts w:ascii="Arial" w:cs="Arial" w:eastAsia="Arial" w:hAnsi="Arial"/>
          <w:sz w:val="22"/>
          <w:szCs w:val="22"/>
        </w:rPr>
        <w:t xml:space="preserve">Velsanet's five polyhedral node types form a complete, closed grammar for network space. Each layer has a structurally defined role — from individual household access to sovereign AI governance. The following describes how this hierarchy maps to Seoul-scale deployment: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400"/>
        <w:gridCol w:w="2060"/>
        <w:gridCol w:w="2800"/>
      </w:tblGrid>
      <w:tr>
        <w:tc>
          <w:tcPr>
            <w:tcW w:type="dxa" w:w="9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Node</w:t>
            </w:r>
          </w:p>
        </w:tc>
        <w:tc>
          <w:tcPr>
            <w:tcW w:type="dxa" w:w="22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Role</w:t>
            </w:r>
          </w:p>
        </w:tc>
        <w:tc>
          <w:tcPr>
            <w:tcW w:type="dxa" w:w="14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AI Layer</w:t>
            </w:r>
          </w:p>
        </w:tc>
        <w:tc>
          <w:tcPr>
            <w:tcW w:type="dxa" w:w="206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Seoul deployment count</w:t>
            </w:r>
          </w:p>
        </w:tc>
        <w:tc>
          <w:tcPr>
            <w:tcW w:type="dxa" w:w="28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Optical cores provided</w:t>
            </w:r>
          </w:p>
        </w:tc>
      </w:tr>
      <w:tr>
        <w:tc>
          <w:tcPr>
            <w:tcW w:type="dxa" w:w="900"/>
            <w:gridSpan w:val="1"/>
            <w:tcBorders>
              <w:top w:val="single" w:color="D0D8E4" w:sz="1"/>
              <w:left w:val="single" w:color="D0D8E4" w:sz="1"/>
              <w:bottom w:val="single" w:color="D0D8E4" w:sz="1"/>
              <w:right w:val="single" w:color="D0D8E4" w:sz="1"/>
            </w:tcBorders>
            <w:shd w:fill="E0F7FA" w:val="clear"/>
            <w:tcMar>
              <w:top w:type="dxa" w:w="100"/>
              <w:left w:type="dxa" w:w="140"/>
              <w:bottom w:type="dxa" w:w="100"/>
              <w:right w:type="dxa" w:w="140"/>
            </w:tcMar>
            <w:vAlign w:val="center"/>
          </w:tcPr>
          <w:p>
            <w:pPr>
              <w:spacing w:before="0" w:after="0"/>
              <w:jc w:val="left"/>
            </w:pPr>
            <w:r>
              <w:rPr>
                <w:rFonts w:ascii="Arial" w:cs="Arial" w:eastAsia="Arial" w:hAnsi="Arial"/>
                <w:b/>
                <w:bCs/>
                <w:color w:val="006064"/>
                <w:sz w:val="19"/>
                <w:szCs w:val="19"/>
              </w:rPr>
              <w:t xml:space="preserve">T4</w:t>
            </w:r>
          </w:p>
        </w:tc>
        <w:tc>
          <w:tcPr>
            <w:tcW w:type="dxa" w:w="22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Personal / minimal access — rhizome origin, device &amp; household endpoint</w:t>
            </w:r>
          </w:p>
        </w:tc>
        <w:tc>
          <w:tcPr>
            <w:tcW w:type="dxa" w:w="14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None (autonomous)</w:t>
            </w:r>
          </w:p>
        </w:tc>
        <w:tc>
          <w:tcPr>
            <w:tcW w:type="dxa" w:w="20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4,450,000</w:t>
            </w:r>
          </w:p>
        </w:tc>
        <w:tc>
          <w:tcPr>
            <w:tcW w:type="dxa" w:w="2800"/>
            <w:gridSpan w:val="1"/>
            <w:tcBorders>
              <w:top w:val="single" w:color="D0D8E4" w:sz="1"/>
              <w:left w:val="single" w:color="D0D8E4" w:sz="1"/>
              <w:bottom w:val="single" w:color="D0D8E4" w:sz="1"/>
              <w:right w:val="single" w:color="D0D8E4" w:sz="1"/>
            </w:tcBorders>
            <w:shd w:fill="E8FFF0"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8,900,000 (2 per T4: public + PAI)</w:t>
            </w:r>
          </w:p>
        </w:tc>
      </w:tr>
      <w:tr>
        <w:tc>
          <w:tcPr>
            <w:tcW w:type="dxa" w:w="900"/>
            <w:gridSpan w:val="1"/>
            <w:tcBorders>
              <w:top w:val="single" w:color="D0D8E4" w:sz="1"/>
              <w:left w:val="single" w:color="D0D8E4" w:sz="1"/>
              <w:bottom w:val="single" w:color="D0D8E4" w:sz="1"/>
              <w:right w:val="single" w:color="D0D8E4" w:sz="1"/>
            </w:tcBorders>
            <w:shd w:fill="ECEFF1" w:val="clear"/>
            <w:tcMar>
              <w:top w:type="dxa" w:w="100"/>
              <w:left w:type="dxa" w:w="140"/>
              <w:bottom w:type="dxa" w:w="100"/>
              <w:right w:type="dxa" w:w="140"/>
            </w:tcMar>
            <w:vAlign w:val="center"/>
          </w:tcPr>
          <w:p>
            <w:pPr>
              <w:spacing w:before="0" w:after="0"/>
              <w:jc w:val="left"/>
            </w:pPr>
            <w:r>
              <w:rPr>
                <w:rFonts w:ascii="Arial" w:cs="Arial" w:eastAsia="Arial" w:hAnsi="Arial"/>
                <w:b/>
                <w:bCs/>
                <w:color w:val="455A64"/>
                <w:sz w:val="19"/>
                <w:szCs w:val="19"/>
              </w:rPr>
              <w:t xml:space="preserve">H6</w:t>
            </w:r>
          </w:p>
        </w:tc>
        <w:tc>
          <w:tcPr>
            <w:tcW w:type="dxa" w:w="22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Physical / RAN mapping — optical domain entry for 6G base stations</w:t>
            </w:r>
          </w:p>
        </w:tc>
        <w:tc>
          <w:tcPr>
            <w:tcW w:type="dxa" w:w="14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None (autonomous)</w:t>
            </w:r>
          </w:p>
        </w:tc>
        <w:tc>
          <w:tcPr>
            <w:tcW w:type="dxa" w:w="20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900,000 (utility poles)</w:t>
            </w:r>
          </w:p>
        </w:tc>
        <w:tc>
          <w:tcPr>
            <w:tcW w:type="dxa" w:w="2800"/>
            <w:gridSpan w:val="1"/>
            <w:tcBorders>
              <w:top w:val="single" w:color="D0D8E4" w:sz="1"/>
              <w:left w:val="single" w:color="D0D8E4" w:sz="1"/>
              <w:bottom w:val="single" w:color="D0D8E4" w:sz="1"/>
              <w:right w:val="single" w:color="D0D8E4" w:sz="1"/>
            </w:tcBorders>
            <w:shd w:fill="E8FFF0"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43,200,000 (48-core MOCT ribbon × 900K poles)</w:t>
            </w:r>
          </w:p>
        </w:tc>
      </w:tr>
      <w:tr>
        <w:tc>
          <w:tcPr>
            <w:tcW w:type="dxa" w:w="900"/>
            <w:gridSpan w:val="1"/>
            <w:tcBorders>
              <w:top w:val="single" w:color="D0D8E4" w:sz="1"/>
              <w:left w:val="single" w:color="D0D8E4" w:sz="1"/>
              <w:bottom w:val="single" w:color="D0D8E4" w:sz="1"/>
              <w:right w:val="single" w:color="D0D8E4" w:sz="1"/>
            </w:tcBorders>
            <w:shd w:fill="E3F2FD" w:val="clear"/>
            <w:tcMar>
              <w:top w:type="dxa" w:w="100"/>
              <w:left w:type="dxa" w:w="140"/>
              <w:bottom w:type="dxa" w:w="100"/>
              <w:right w:type="dxa" w:w="140"/>
            </w:tcMar>
            <w:vAlign w:val="center"/>
          </w:tcPr>
          <w:p>
            <w:pPr>
              <w:spacing w:before="0" w:after="0"/>
              <w:jc w:val="left"/>
            </w:pPr>
            <w:r>
              <w:rPr>
                <w:rFonts w:ascii="Arial" w:cs="Arial" w:eastAsia="Arial" w:hAnsi="Arial"/>
                <w:b/>
                <w:bCs/>
                <w:color w:val="0D47A1"/>
                <w:sz w:val="19"/>
                <w:szCs w:val="19"/>
              </w:rPr>
              <w:t xml:space="preserve">O8</w:t>
            </w:r>
          </w:p>
        </w:tc>
        <w:tc>
          <w:tcPr>
            <w:tcW w:type="dxa" w:w="22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Access / city layer — first intelligence tier, PAI embedded, personal AI coordination</w:t>
            </w:r>
          </w:p>
        </w:tc>
        <w:tc>
          <w:tcPr>
            <w:tcW w:type="dxa" w:w="14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PAI (Personal AI)</w:t>
            </w:r>
          </w:p>
        </w:tc>
        <w:tc>
          <w:tcPr>
            <w:tcW w:type="dxa" w:w="20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~55,600 (1 per 80 T4 subscribers)</w:t>
            </w:r>
          </w:p>
        </w:tc>
        <w:tc>
          <w:tcPr>
            <w:tcW w:type="dxa" w:w="2800"/>
            <w:gridSpan w:val="1"/>
            <w:tcBorders>
              <w:top w:val="single" w:color="D0D8E4" w:sz="1"/>
              <w:left w:val="single" w:color="D0D8E4" w:sz="1"/>
              <w:bottom w:val="single" w:color="D0D8E4" w:sz="1"/>
              <w:right w:val="single" w:color="D0D8E4" w:sz="1"/>
            </w:tcBorders>
            <w:shd w:fill="E8FFF0"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224 internal matrices per O8 · 4,000,000+ PAI agents active</w:t>
            </w:r>
          </w:p>
        </w:tc>
      </w:tr>
      <w:tr>
        <w:tc>
          <w:tcPr>
            <w:tcW w:type="dxa" w:w="900"/>
            <w:gridSpan w:val="1"/>
            <w:tcBorders>
              <w:top w:val="single" w:color="D0D8E4" w:sz="1"/>
              <w:left w:val="single" w:color="D0D8E4" w:sz="1"/>
              <w:bottom w:val="single" w:color="D0D8E4" w:sz="1"/>
              <w:right w:val="single" w:color="D0D8E4" w:sz="1"/>
            </w:tcBorders>
            <w:shd w:fill="E8F5E9" w:val="clear"/>
            <w:tcMar>
              <w:top w:type="dxa" w:w="100"/>
              <w:left w:type="dxa" w:w="140"/>
              <w:bottom w:type="dxa" w:w="100"/>
              <w:right w:type="dxa" w:w="140"/>
            </w:tcMar>
            <w:vAlign w:val="center"/>
          </w:tcPr>
          <w:p>
            <w:pPr>
              <w:spacing w:before="0" w:after="0"/>
              <w:jc w:val="left"/>
            </w:pPr>
            <w:r>
              <w:rPr>
                <w:rFonts w:ascii="Arial" w:cs="Arial" w:eastAsia="Arial" w:hAnsi="Arial"/>
                <w:b/>
                <w:bCs/>
                <w:color w:val="1B5E20"/>
                <w:sz w:val="19"/>
                <w:szCs w:val="19"/>
              </w:rPr>
              <w:t xml:space="preserve">D12</w:t>
            </w:r>
          </w:p>
        </w:tc>
        <w:tc>
          <w:tcPr>
            <w:tcW w:type="dxa" w:w="22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Regional coordination — AAI, multi-domain orchestration, inter-O8 cluster management</w:t>
            </w:r>
          </w:p>
        </w:tc>
        <w:tc>
          <w:tcPr>
            <w:tcW w:type="dxa" w:w="14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AAI (Agent AI)</w:t>
            </w:r>
          </w:p>
        </w:tc>
        <w:tc>
          <w:tcPr>
            <w:tcW w:type="dxa" w:w="20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~4,600 district/gu-level nodes</w:t>
            </w:r>
          </w:p>
        </w:tc>
        <w:tc>
          <w:tcPr>
            <w:tcW w:type="dxa" w:w="2800"/>
            <w:gridSpan w:val="1"/>
            <w:tcBorders>
              <w:top w:val="single" w:color="D0D8E4" w:sz="1"/>
              <w:left w:val="single" w:color="D0D8E4" w:sz="1"/>
              <w:bottom w:val="single" w:color="D0D8E4" w:sz="1"/>
              <w:right w:val="single" w:color="D0D8E4" w:sz="1"/>
            </w:tcBorders>
            <w:shd w:fill="E8FFF0"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528 matrices per D12 · coordinates 12 O8 clusters each</w:t>
            </w:r>
          </w:p>
        </w:tc>
      </w:tr>
      <w:tr>
        <w:tc>
          <w:tcPr>
            <w:tcW w:type="dxa" w:w="900"/>
            <w:gridSpan w:val="1"/>
            <w:tcBorders>
              <w:top w:val="single" w:color="D0D8E4" w:sz="1"/>
              <w:left w:val="single" w:color="D0D8E4" w:sz="1"/>
              <w:bottom w:val="single" w:color="D0D8E4" w:sz="1"/>
              <w:right w:val="single" w:color="D0D8E4" w:sz="1"/>
            </w:tcBorders>
            <w:shd w:fill="F3E5F5" w:val="clear"/>
            <w:tcMar>
              <w:top w:type="dxa" w:w="100"/>
              <w:left w:type="dxa" w:w="140"/>
              <w:bottom w:type="dxa" w:w="100"/>
              <w:right w:type="dxa" w:w="140"/>
            </w:tcMar>
            <w:vAlign w:val="center"/>
          </w:tcPr>
          <w:p>
            <w:pPr>
              <w:spacing w:before="0" w:after="0"/>
              <w:jc w:val="left"/>
            </w:pPr>
            <w:r>
              <w:rPr>
                <w:rFonts w:ascii="Arial" w:cs="Arial" w:eastAsia="Arial" w:hAnsi="Arial"/>
                <w:b/>
                <w:bCs/>
                <w:color w:val="4A148C"/>
                <w:sz w:val="19"/>
                <w:szCs w:val="19"/>
              </w:rPr>
              <w:t xml:space="preserve">I20</w:t>
            </w:r>
          </w:p>
        </w:tc>
        <w:tc>
          <w:tcPr>
            <w:tcW w:type="dxa" w:w="22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Sovereign AI / global judgment — AsAI, national governance, structural safety enforcement</w:t>
            </w:r>
          </w:p>
        </w:tc>
        <w:tc>
          <w:tcPr>
            <w:tcW w:type="dxa" w:w="140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AsAI (Sovereign AI)</w:t>
            </w:r>
          </w:p>
        </w:tc>
        <w:tc>
          <w:tcPr>
            <w:tcW w:type="dxa" w:w="20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~230 (city / national level)</w:t>
            </w:r>
          </w:p>
        </w:tc>
        <w:tc>
          <w:tcPr>
            <w:tcW w:type="dxa" w:w="2800"/>
            <w:gridSpan w:val="1"/>
            <w:tcBorders>
              <w:top w:val="single" w:color="D0D8E4" w:sz="1"/>
              <w:left w:val="single" w:color="D0D8E4" w:sz="1"/>
              <w:bottom w:val="single" w:color="D0D8E4" w:sz="1"/>
              <w:right w:val="single" w:color="D0D8E4" w:sz="1"/>
            </w:tcBorders>
            <w:shd w:fill="E8FFF0"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1,520 parallel E2E paths per I20 · 15,200+ paths (Phase 3 MOCT)</w:t>
            </w:r>
          </w:p>
        </w:tc>
      </w:tr>
    </w:tbl>
    <w:p>
      <w:pPr>
        <w:spacing w:before="120" w:after="0"/>
      </w:pPr>
      <w:r>
        <w:t xml:space="preserve"/>
      </w:r>
    </w:p>
    <w:p>
      <w:pPr>
        <w:pStyle w:val="Heading2"/>
        <w:spacing w:before="320" w:after="140"/>
      </w:pPr>
      <w:r>
        <w:rPr>
          <w:rFonts w:ascii="Arial" w:cs="Arial" w:eastAsia="Arial" w:hAnsi="Arial"/>
          <w:b/>
          <w:bCs/>
          <w:color w:val="1A4B8C"/>
          <w:sz w:val="32"/>
          <w:szCs w:val="32"/>
        </w:rPr>
        <w:t xml:space="preserve">3.2  The Vertical Intelligence Chain</w:t>
      </w:r>
    </w:p>
    <w:p>
      <w:pPr>
        <w:spacing w:before="80" w:after="100"/>
      </w:pPr>
      <w:r>
        <w:rPr>
          <w:rFonts w:ascii="Arial" w:cs="Arial" w:eastAsia="Arial" w:hAnsi="Arial"/>
          <w:sz w:val="22"/>
          <w:szCs w:val="22"/>
        </w:rPr>
        <w:t xml:space="preserve">The critical property of this hierarchy is that intelligence is not imposed from above — it emerges bottom-up, hop by hop, from physical structure. T4 nodes bootstrap their identity from the encoded node name and Channel 1 of the MOCT ribbon cable. No controller assigns them. No routing protocol bootstraps them. They simply exist and are structurally self-aware from the moment of connection.</w:t>
      </w:r>
    </w:p>
    <w:p>
      <w:pPr>
        <w:spacing w:before="60" w:after="0"/>
      </w:pPr>
      <w:r>
        <w:t xml:space="preserve"/>
      </w:r>
    </w:p>
    <w:p>
      <w:pPr>
        <w:spacing w:before="80" w:after="100"/>
      </w:pPr>
      <w:r>
        <w:rPr>
          <w:rFonts w:ascii="Arial" w:cs="Arial" w:eastAsia="Arial" w:hAnsi="Arial"/>
          <w:sz w:val="22"/>
          <w:szCs w:val="22"/>
        </w:rPr>
        <w:t xml:space="preserve">As structural awareness propagates upward through the hierarchy, each layer adds a qualitatively different class of intelligence:</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T4 → H6: Physical presence and access. The device exists. The household is connected. Public safety and PAI cores are provisioned.</w:t>
      </w:r>
    </w:p>
    <w:p>
      <w:pPr>
        <w:pStyle w:val="ListParagraph"/>
        <w:numPr>
          <w:ilvl w:val="0"/>
          <w:numId w:val="2"/>
        </w:numPr>
        <w:spacing w:before="60" w:after="60"/>
      </w:pPr>
      <w:r>
        <w:rPr>
          <w:rFonts w:ascii="Arial" w:cs="Arial" w:eastAsia="Arial" w:hAnsi="Arial"/>
          <w:sz w:val="22"/>
          <w:szCs w:val="22"/>
        </w:rPr>
        <w:t xml:space="preserve">H6 → O8: The wireless domain meets the optical domain. The convergence boundary is established. Channel 1 of the ribbon cable validates physical identity without any external authentication server.</w:t>
      </w:r>
    </w:p>
    <w:p>
      <w:pPr>
        <w:pStyle w:val="ListParagraph"/>
        <w:numPr>
          <w:ilvl w:val="0"/>
          <w:numId w:val="2"/>
        </w:numPr>
        <w:spacing w:before="60" w:after="60"/>
      </w:pPr>
      <w:r>
        <w:rPr>
          <w:rFonts w:ascii="Arial" w:cs="Arial" w:eastAsia="Arial" w:hAnsi="Arial"/>
          <w:sz w:val="22"/>
          <w:szCs w:val="22"/>
        </w:rPr>
        <w:t xml:space="preserve">O8 (PAI): Personal AI becomes active. The O8 node tracks device identity across mobility, manages overlapped E2E for zero-loss handover, and coordinates PAI context for its cluster of ~80 households.</w:t>
      </w:r>
    </w:p>
    <w:p>
      <w:pPr>
        <w:pStyle w:val="ListParagraph"/>
        <w:numPr>
          <w:ilvl w:val="0"/>
          <w:numId w:val="2"/>
        </w:numPr>
        <w:spacing w:before="60" w:after="60"/>
      </w:pPr>
      <w:r>
        <w:rPr>
          <w:rFonts w:ascii="Arial" w:cs="Arial" w:eastAsia="Arial" w:hAnsi="Arial"/>
          <w:sz w:val="22"/>
          <w:szCs w:val="22"/>
        </w:rPr>
        <w:t xml:space="preserve">D12 (AAI): Regional intelligence coordinates across ~12 O8 clusters. Traffic patterns, resource allocation, intent mediation between personal agents and public infrastructure are managed at district scale.</w:t>
      </w:r>
    </w:p>
    <w:p>
      <w:pPr>
        <w:pStyle w:val="ListParagraph"/>
        <w:numPr>
          <w:ilvl w:val="0"/>
          <w:numId w:val="2"/>
        </w:numPr>
        <w:spacing w:before="60" w:after="60"/>
      </w:pPr>
      <w:r>
        <w:rPr>
          <w:rFonts w:ascii="Arial" w:cs="Arial" w:eastAsia="Arial" w:hAnsi="Arial"/>
          <w:sz w:val="22"/>
          <w:szCs w:val="22"/>
        </w:rPr>
        <w:t xml:space="preserve">I20 (AsAI): Sovereign AI operates at city or national scale. Structural safety invariants — enforced in hardware — ensure that no PAI agent can directly access AsAI, and that all upward escalation passes through the structural hierarchy. Safety is not a rule. It is an architectural impossibility of violation.</w:t>
      </w:r>
    </w:p>
    <w:p>
      <w:r>
        <w:br w:type="page"/>
      </w:r>
    </w:p>
    <w:p>
      <w:pPr>
        <w:pStyle w:val="Heading1"/>
        <w:spacing w:before="500" w:after="200"/>
      </w:pPr>
      <w:r>
        <w:rPr>
          <w:rFonts w:ascii="Arial" w:cs="Arial" w:eastAsia="Arial" w:hAnsi="Arial"/>
          <w:b/>
          <w:bCs/>
          <w:color w:val="0D1B3E"/>
          <w:sz w:val="44"/>
          <w:szCs w:val="44"/>
        </w:rPr>
        <w:t xml:space="preserve">4.  Seoul 1 GW Deployment: Velsanet vs. AWS / Blackwell</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4.1  Reference Benchmark: SK–AWS Ulsan 1 GW Campus</w:t>
      </w:r>
    </w:p>
    <w:p>
      <w:pPr>
        <w:spacing w:before="80" w:after="100"/>
      </w:pPr>
      <w:r>
        <w:rPr>
          <w:rFonts w:ascii="Arial" w:cs="Arial" w:eastAsia="Arial" w:hAnsi="Arial"/>
          <w:sz w:val="22"/>
          <w:szCs w:val="22"/>
        </w:rPr>
        <w:t xml:space="preserve">The SK–AWS Ulsan hyperscale AI datacenter (groundbreaking September 2025, full capacity February 2029) is the largest single-site compute project in South Korean history. Its specifications define the benchmark against which Velsanet's Seoul deployment is assessed: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Specification</w:t>
            </w:r>
          </w:p>
        </w:tc>
        <w:tc>
          <w:tcPr>
            <w:tcW w:type="dxa" w:w="29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SK–AWS Ulsan (reference)</w:t>
            </w:r>
          </w:p>
        </w:tc>
        <w:tc>
          <w:tcPr>
            <w:tcW w:type="dxa" w:w="29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Velsanet Seoul (proposed)</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Total site power</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1,000 MW (1 GW)</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~400–500 MW (est.)</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Rack count</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~70,000 racks (by 2030)</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~28,000 VXU-1 modules</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Power per rack</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20–132 kW (liquid cooled)</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~14–18 kW per VXU-1 module</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Peak AI throughput</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~100,800 PFLOPS (70K × 1,440 PF/72-GPU)</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~140,000 PFLOPS (est., 28K × ~5PF)</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Effective utilization</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~65% (CUDA scheduling)</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~94% (structural dispatch)</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Effective delivered throughput</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~65,520 PFLOPS</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~131,600 PFLOPS</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Performance per watt</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~65.5 TFLOPS/W</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~263–329 TFLOPS/W (est.)</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Subscriber optical cores</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0 (server fabric only)</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8,900,000 active (Seoul metro)</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Concurrent AI agents</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~490,000 (MIG 7/GPU × 70K racks/72 GPU-eq.)</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4,000,000+ PAI (structural)</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Inter-node latency</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1–5 μs (NVLink / InfiniBand)</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&lt;10 ns (photonic E2E)</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Public / private AI separation</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Software IAM / VPC policy</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Physical optical core (hardware-enforced)</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AI safety enforcement</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External policy layer (EU AI Act compliance etc.)</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Structural invariant — GPE hardware (I20 layer)</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Cooling requirement</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Industrial liquid cooling, ~25–30% overhead</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~15–20% overhead (passive optics, no ASIC switching)</w:t>
            </w:r>
          </w:p>
        </w:tc>
      </w:tr>
      <w:tr>
        <w:tc>
          <w:tcPr>
            <w:tcW w:type="dxa" w:w="34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Investment (reference)</w:t>
            </w:r>
          </w:p>
        </w:tc>
        <w:tc>
          <w:tcPr>
            <w:tcW w:type="dxa" w:w="29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$5.1B (7 trillion KRW)</w:t>
            </w:r>
          </w:p>
        </w:tc>
        <w:tc>
          <w:tcPr>
            <w:tcW w:type="dxa" w:w="29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Estimated $2.5–3.5B (structural reduction)</w:t>
            </w:r>
          </w:p>
        </w:tc>
      </w:tr>
    </w:tbl>
    <w:p>
      <w:pPr>
        <w:spacing w:before="60" w:after="0"/>
      </w:pPr>
      <w:r>
        <w:t xml:space="preserve"/>
      </w:r>
    </w:p>
    <w:p>
      <w:pPr>
        <w:spacing w:before="80" w:after="100"/>
      </w:pPr>
      <w:r>
        <w:rPr>
          <w:rFonts w:ascii="Arial" w:cs="Arial" w:eastAsia="Arial" w:hAnsi="Arial"/>
          <w:i/>
          <w:iCs/>
          <w:color w:val="4A5568"/>
          <w:sz w:val="18"/>
          <w:szCs w:val="18"/>
        </w:rPr>
        <w:t xml:space="preserve">* All Velsanet figures are architectural projections. Actual performance requires fabricated hardware and operational validation.</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4.2  Why Velsanet Uses Less Power for Greater Capability</w:t>
      </w:r>
    </w:p>
    <w:p>
      <w:pPr>
        <w:spacing w:before="80" w:after="100"/>
      </w:pPr>
      <w:r>
        <w:rPr>
          <w:rFonts w:ascii="Arial" w:cs="Arial" w:eastAsia="Arial" w:hAnsi="Arial"/>
          <w:sz w:val="22"/>
          <w:szCs w:val="22"/>
        </w:rPr>
        <w:t xml:space="preserve">The power reduction is not achieved through efficiency optimization — it is a structural consequence of what Velsanet eliminates: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Power consumer</w:t>
            </w:r>
          </w:p>
        </w:tc>
        <w:tc>
          <w:tcPr>
            <w:tcW w:type="dxa" w:w="28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AWS / Blackwell (1 GW campus)</w:t>
            </w:r>
          </w:p>
        </w:tc>
        <w:tc>
          <w:tcPr>
            <w:tcW w:type="dxa" w:w="28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Velsanet equivalent</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Compute (tensor/matrix operations)</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~380 MW</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~220 MW (structural dispatch, no scheduler overhead)</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HBM memory (DRAM refresh + R/W)</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~280 MW</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~60 MW (SRAM SCA, no refresh cycles)</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NVLink / InfiniBand switch fabric</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~180 MW</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~30 MW (photonic IPR, 1/6 power of SerDes)</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CUDA runtime / software scheduling</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~80 MW</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~0 MW (eliminated — structural dispatch)</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Bus arbitration / switching ASICs</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~60 MW</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~0 MW (eliminated — physical isolation)</w:t>
            </w:r>
          </w:p>
        </w:tc>
      </w:tr>
      <w:tr>
        <w:tc>
          <w:tcPr>
            <w:tcW w:type="dxa" w:w="36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Cooling overhead</w:t>
            </w:r>
          </w:p>
        </w:tc>
        <w:tc>
          <w:tcPr>
            <w:tcW w:type="dxa" w:w="28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~250–300 MW (30% PUE overhead)</w:t>
            </w:r>
          </w:p>
        </w:tc>
        <w:tc>
          <w:tcPr>
            <w:tcW w:type="dxa" w:w="28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~80–100 MW (20% — lower heat from passive optics)</w:t>
            </w:r>
          </w:p>
        </w:tc>
      </w:tr>
      <w:tr>
        <w:tc>
          <w:tcPr>
            <w:tcW w:type="dxa" w:w="36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TOTAL</w:t>
            </w:r>
          </w:p>
        </w:tc>
        <w:tc>
          <w:tcPr>
            <w:tcW w:type="dxa" w:w="28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~1,000 MW</w:t>
            </w:r>
          </w:p>
        </w:tc>
        <w:tc>
          <w:tcPr>
            <w:tcW w:type="dxa" w:w="28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~390–410 MW</w:t>
            </w:r>
          </w:p>
        </w:tc>
      </w:tr>
    </w:tbl>
    <w:p>
      <w:r>
        <w:br w:type="page"/>
      </w:r>
    </w:p>
    <w:p>
      <w:pPr>
        <w:pStyle w:val="Heading1"/>
        <w:spacing w:before="500" w:after="200"/>
      </w:pPr>
      <w:r>
        <w:rPr>
          <w:rFonts w:ascii="Arial" w:cs="Arial" w:eastAsia="Arial" w:hAnsi="Arial"/>
          <w:b/>
          <w:bCs/>
          <w:color w:val="0D1B3E"/>
          <w:sz w:val="44"/>
          <w:szCs w:val="44"/>
        </w:rPr>
        <w:t xml:space="preserve">5.  Velsanet as a Living AI Organism — Not a Datacenter</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5.1  The Conceptual Inversion</w:t>
      </w:r>
    </w:p>
    <w:p>
      <w:pPr>
        <w:pBdr>
          <w:top w:val="none" w:color="FFFFFF" w:sz="0"/>
          <w:left w:val="thick" w:color="1BA8C8" w:sz="12" w:space="8"/>
          <w:bottom w:val="none" w:color="FFFFFF" w:sz="0"/>
          <w:right w:val="none" w:color="FFFFFF" w:sz="0"/>
        </w:pBdr>
        <w:spacing w:before="160" w:after="160"/>
        <w:ind w:left="360"/>
      </w:pPr>
      <w:r>
        <w:rPr>
          <w:rFonts w:ascii="Arial" w:cs="Arial" w:eastAsia="Arial" w:hAnsi="Arial"/>
          <w:b/>
          <w:bCs/>
          <w:i/>
          <w:iCs/>
          <w:color w:val="0D1B3E"/>
          <w:sz w:val="23"/>
          <w:szCs w:val="23"/>
        </w:rPr>
        <w:t xml:space="preserve">A conventional datacenter is a physical building containing compute. Velsanet is a topology — a structured spatial relationship between intelligence layers — that happens to require physical infrastructure. The intelligence is not in a building. The intelligence IS the structure.</w:t>
      </w:r>
    </w:p>
    <w:p>
      <w:pPr>
        <w:spacing w:before="80" w:after="0"/>
      </w:pPr>
      <w:r>
        <w:t xml:space="preserve"/>
      </w:r>
    </w:p>
    <w:p>
      <w:pPr>
        <w:spacing w:before="80" w:after="100"/>
      </w:pPr>
      <w:r>
        <w:rPr>
          <w:rFonts w:ascii="Arial" w:cs="Arial" w:eastAsia="Arial" w:hAnsi="Arial"/>
          <w:sz w:val="22"/>
          <w:szCs w:val="22"/>
        </w:rPr>
        <w:t xml:space="preserve">This distinction has profound practical consequences. When AWS's Ulsan datacenter is operational, the intelligence available to a Seoul household is whatever AWS chooses to offer, at whatever latency the internet provides, subject to whatever terms AWS sets. The household is a consumer.</w:t>
      </w:r>
    </w:p>
    <w:p>
      <w:pPr>
        <w:spacing w:before="60" w:after="0"/>
      </w:pPr>
      <w:r>
        <w:t xml:space="preserve"/>
      </w:r>
    </w:p>
    <w:p>
      <w:pPr>
        <w:spacing w:before="80" w:after="100"/>
      </w:pPr>
      <w:r>
        <w:rPr>
          <w:rFonts w:ascii="Arial" w:cs="Arial" w:eastAsia="Arial" w:hAnsi="Arial"/>
          <w:sz w:val="22"/>
          <w:szCs w:val="22"/>
        </w:rPr>
        <w:t xml:space="preserve">When Velsanet's Seoul deployment is operational, the intelligence available to a Seoul household is structurally guaranteed: a dedicated PAI optical core, an always-active personal AI agent, direct access to public safety infrastructure, and participation in a city-scale intelligence network — all without routing through any commercial cloud operator. The household is a structural node.</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5.2  What 'Living AI Organism' Means Architecturally</w:t>
      </w:r>
    </w:p>
    <w:p>
      <w:pPr>
        <w:spacing w:before="80" w:after="100"/>
      </w:pPr>
      <w:r>
        <w:rPr>
          <w:rFonts w:ascii="Arial" w:cs="Arial" w:eastAsia="Arial" w:hAnsi="Arial"/>
          <w:sz w:val="22"/>
          <w:szCs w:val="22"/>
        </w:rPr>
        <w:t xml:space="preserve">The metaphor of a living organism is not rhetorical. Velsanet's architecture exhibits the defining properties of biological intelligence:</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Self-awareness. Every node resolves its own identity through the node name structure and Channel 1 bootstrap — without any external controller. The network knows what it is before it is told what to do.</w:t>
      </w:r>
    </w:p>
    <w:p>
      <w:pPr>
        <w:pStyle w:val="ListParagraph"/>
        <w:numPr>
          <w:ilvl w:val="0"/>
          <w:numId w:val="2"/>
        </w:numPr>
        <w:spacing w:before="60" w:after="60"/>
      </w:pPr>
      <w:r>
        <w:rPr>
          <w:rFonts w:ascii="Arial" w:cs="Arial" w:eastAsia="Arial" w:hAnsi="Arial"/>
          <w:sz w:val="22"/>
          <w:szCs w:val="22"/>
        </w:rPr>
        <w:t xml:space="preserve">Distributed cognition. PAI operates at O8 (city level), AAI at D12 (regional level), AsAI at I20 (sovereign level). Each layer is structurally incapable of overstepping its authority boundary. Intelligence is not centralized — it is structurally distributed and structurally bounded.</w:t>
      </w:r>
    </w:p>
    <w:p>
      <w:pPr>
        <w:pStyle w:val="ListParagraph"/>
        <w:numPr>
          <w:ilvl w:val="0"/>
          <w:numId w:val="2"/>
        </w:numPr>
        <w:spacing w:before="60" w:after="60"/>
      </w:pPr>
      <w:r>
        <w:rPr>
          <w:rFonts w:ascii="Arial" w:cs="Arial" w:eastAsia="Arial" w:hAnsi="Arial"/>
          <w:sz w:val="22"/>
          <w:szCs w:val="22"/>
        </w:rPr>
        <w:t xml:space="preserve">Organic growth. Velsanet scales by topological expansion, not by server aggregation. Adding a T4 node extends the rhizome. Adding an O8 cluster extends the proximity mesh. The network grows as an organism grows — by adding cells, not by building new buildings.</w:t>
      </w:r>
    </w:p>
    <w:p>
      <w:pPr>
        <w:pStyle w:val="ListParagraph"/>
        <w:numPr>
          <w:ilvl w:val="0"/>
          <w:numId w:val="2"/>
        </w:numPr>
        <w:spacing w:before="60" w:after="60"/>
      </w:pPr>
      <w:r>
        <w:rPr>
          <w:rFonts w:ascii="Arial" w:cs="Arial" w:eastAsia="Arial" w:hAnsi="Arial"/>
          <w:sz w:val="22"/>
          <w:szCs w:val="22"/>
        </w:rPr>
        <w:t xml:space="preserve">Memory with meaning. The Cube Memory architecture (T-C-I-E-M: Time, Context, Intent, Emotion, Meta) gives every PAI agent a structurally indexed semantic memory. Retrieval is by meaning, not by address. The network does not store data — it stores experience.</w:t>
      </w:r>
    </w:p>
    <w:p>
      <w:pPr>
        <w:pStyle w:val="ListParagraph"/>
        <w:numPr>
          <w:ilvl w:val="0"/>
          <w:numId w:val="2"/>
        </w:numPr>
        <w:spacing w:before="60" w:after="60"/>
      </w:pPr>
      <w:r>
        <w:rPr>
          <w:rFonts w:ascii="Arial" w:cs="Arial" w:eastAsia="Arial" w:hAnsi="Arial"/>
          <w:sz w:val="22"/>
          <w:szCs w:val="22"/>
        </w:rPr>
        <w:t xml:space="preserve">Structural safety. Safety in Velsanet is not a rule that can be broken. It is an architectural property of the I20 layer: a PAI agent cannot directly access AsAI. The path does not exist. This is not a security policy. It is a topological impossibility.</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5.3  The Public-Private Structural Boundary at Scale</w:t>
      </w:r>
    </w:p>
    <w:p>
      <w:pPr>
        <w:spacing w:before="80" w:after="100"/>
      </w:pPr>
      <w:r>
        <w:rPr>
          <w:rFonts w:ascii="Arial" w:cs="Arial" w:eastAsia="Arial" w:hAnsi="Arial"/>
          <w:sz w:val="22"/>
          <w:szCs w:val="22"/>
        </w:rPr>
        <w:t xml:space="preserve">Perhaps the most strategically significant property of the Velsanet Seoul deployment is the hardware-enforced public-private boundary. At 4 million households, this means: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4,000,000 Public E2E Optical Cores active simultaneously, each carrying 7 public safety channels — disaster alerts, fire, emergency services, public broadcasting, security linkage. These channels are always on, always isolated from personal AI, and structurally immune to commercial interference.</w:t>
      </w:r>
    </w:p>
    <w:p>
      <w:pPr>
        <w:pStyle w:val="ListParagraph"/>
        <w:numPr>
          <w:ilvl w:val="0"/>
          <w:numId w:val="2"/>
        </w:numPr>
        <w:spacing w:before="60" w:after="60"/>
      </w:pPr>
      <w:r>
        <w:rPr>
          <w:rFonts w:ascii="Arial" w:cs="Arial" w:eastAsia="Arial" w:hAnsi="Arial"/>
          <w:sz w:val="22"/>
          <w:szCs w:val="22"/>
        </w:rPr>
        <w:t xml:space="preserve">4,000,000 PAI-dedicated Optical Cores active simultaneously, each carrying a personal AI agent that manages household devices, sensors, and interfaces through a Shared Wireless Domain. The government cannot see it. AWS cannot serve it. The individual owns it structurally.</w:t>
      </w:r>
    </w:p>
    <w:p>
      <w:pPr>
        <w:spacing w:before="60" w:after="0"/>
      </w:pPr>
      <w:r>
        <w:t xml:space="preserve"/>
      </w:r>
    </w:p>
    <w:p>
      <w:pPr>
        <w:spacing w:before="80" w:after="100"/>
      </w:pPr>
      <w:r>
        <w:rPr>
          <w:rFonts w:ascii="Arial" w:cs="Arial" w:eastAsia="Arial" w:hAnsi="Arial"/>
          <w:sz w:val="22"/>
          <w:szCs w:val="22"/>
        </w:rPr>
        <w:t xml:space="preserve">This is not achievable through software policy on AWS. No Terms of Service, no privacy regulation, no contractual obligation provides the same guarantee as physical optical core isolation. Velsanet's Seoul deployment makes AI sovereignty a physical fact, not a legal promise.</w:t>
      </w:r>
    </w:p>
    <w:p>
      <w:r>
        <w:br w:type="page"/>
      </w:r>
    </w:p>
    <w:p>
      <w:pPr>
        <w:pStyle w:val="Heading1"/>
        <w:spacing w:before="500" w:after="200"/>
      </w:pPr>
      <w:r>
        <w:rPr>
          <w:rFonts w:ascii="Arial" w:cs="Arial" w:eastAsia="Arial" w:hAnsi="Arial"/>
          <w:b/>
          <w:bCs/>
          <w:color w:val="0D1B3E"/>
          <w:sz w:val="44"/>
          <w:szCs w:val="44"/>
        </w:rPr>
        <w:t xml:space="preserve">6.  MOCT Core Density Phases and Seoul Capacity Scaling</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6.1  MOCT Optical Core Density Roadmap</w:t>
      </w:r>
    </w:p>
    <w:p>
      <w:pPr>
        <w:spacing w:before="80" w:after="100"/>
      </w:pPr>
      <w:r>
        <w:rPr>
          <w:rFonts w:ascii="Arial" w:cs="Arial" w:eastAsia="Arial" w:hAnsi="Arial"/>
          <w:sz w:val="22"/>
          <w:szCs w:val="22"/>
        </w:rPr>
        <w:t xml:space="preserve">The Multi-Optical-Core Transceiver (MOCT) — Velsanet's core photonic substrate — has a three-phase core density roadmap. Each phase multiplies the aggregate E2E path capacity of the Seoul deployment: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2160"/>
        <w:gridCol w:w="2040"/>
        <w:gridCol w:w="1800"/>
      </w:tblGrid>
      <w:tr>
        <w:tc>
          <w:tcPr>
            <w:tcW w:type="dxa" w:w="12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Phase</w:t>
            </w:r>
          </w:p>
        </w:tc>
        <w:tc>
          <w:tcPr>
            <w:tcW w:type="dxa" w:w="216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MOCT cores per node</w:t>
            </w:r>
          </w:p>
        </w:tc>
        <w:tc>
          <w:tcPr>
            <w:tcW w:type="dxa" w:w="216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Parallel E2E per I20</w:t>
            </w:r>
          </w:p>
        </w:tc>
        <w:tc>
          <w:tcPr>
            <w:tcW w:type="dxa" w:w="204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PAI agents (Seoul metro)</w:t>
            </w:r>
          </w:p>
        </w:tc>
        <w:tc>
          <w:tcPr>
            <w:tcW w:type="dxa" w:w="18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Status</w:t>
            </w:r>
          </w:p>
        </w:tc>
      </w:tr>
      <w:tr>
        <w:tc>
          <w:tcPr>
            <w:tcW w:type="dxa" w:w="1200"/>
            <w:gridSpan w:val="1"/>
            <w:tcBorders>
              <w:top w:val="single" w:color="D0D8E4" w:sz="1"/>
              <w:left w:val="single" w:color="D0D8E4" w:sz="1"/>
              <w:bottom w:val="single" w:color="D0D8E4" w:sz="1"/>
              <w:right w:val="single" w:color="D0D8E4" w:sz="1"/>
            </w:tcBorders>
            <w:shd w:fill="E3F2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Phase 1</w:t>
            </w:r>
          </w:p>
        </w:tc>
        <w:tc>
          <w:tcPr>
            <w:tcW w:type="dxa" w:w="21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100 cores</w:t>
            </w:r>
          </w:p>
        </w:tc>
        <w:tc>
          <w:tcPr>
            <w:tcW w:type="dxa" w:w="21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1,520 paths</w:t>
            </w:r>
          </w:p>
        </w:tc>
        <w:tc>
          <w:tcPr>
            <w:tcW w:type="dxa" w:w="20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4,000,000+</w:t>
            </w:r>
          </w:p>
        </w:tc>
        <w:tc>
          <w:tcPr>
            <w:tcW w:type="dxa" w:w="1800"/>
            <w:gridSpan w:val="1"/>
            <w:tcBorders>
              <w:top w:val="single" w:color="D0D8E4" w:sz="1"/>
              <w:left w:val="single" w:color="D0D8E4" w:sz="1"/>
              <w:bottom w:val="single" w:color="D0D8E4" w:sz="1"/>
              <w:right w:val="single" w:color="D0D8E4" w:sz="1"/>
            </w:tcBorders>
            <w:shd w:fill="E8FFF0"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Initial deployment</w:t>
            </w:r>
          </w:p>
        </w:tc>
      </w:tr>
      <w:tr>
        <w:tc>
          <w:tcPr>
            <w:tcW w:type="dxa" w:w="1200"/>
            <w:gridSpan w:val="1"/>
            <w:tcBorders>
              <w:top w:val="single" w:color="D0D8E4" w:sz="1"/>
              <w:left w:val="single" w:color="D0D8E4" w:sz="1"/>
              <w:bottom w:val="single" w:color="D0D8E4" w:sz="1"/>
              <w:right w:val="single" w:color="D0D8E4" w:sz="1"/>
            </w:tcBorders>
            <w:shd w:fill="E3F2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Phase 2</w:t>
            </w:r>
          </w:p>
        </w:tc>
        <w:tc>
          <w:tcPr>
            <w:tcW w:type="dxa" w:w="21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200–500 cores</w:t>
            </w:r>
          </w:p>
        </w:tc>
        <w:tc>
          <w:tcPr>
            <w:tcW w:type="dxa" w:w="21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7,600 paths</w:t>
            </w:r>
          </w:p>
        </w:tc>
        <w:tc>
          <w:tcPr>
            <w:tcW w:type="dxa" w:w="20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4,000,000+</w:t>
            </w:r>
          </w:p>
        </w:tc>
        <w:tc>
          <w:tcPr>
            <w:tcW w:type="dxa" w:w="1800"/>
            <w:gridSpan w:val="1"/>
            <w:tcBorders>
              <w:top w:val="single" w:color="D0D8E4" w:sz="1"/>
              <w:left w:val="single" w:color="D0D8E4" w:sz="1"/>
              <w:bottom w:val="single" w:color="D0D8E4" w:sz="1"/>
              <w:right w:val="single" w:color="D0D8E4" w:sz="1"/>
            </w:tcBorders>
            <w:shd w:fill="FFF8E1"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Expansion</w:t>
            </w:r>
          </w:p>
        </w:tc>
      </w:tr>
      <w:tr>
        <w:tc>
          <w:tcPr>
            <w:tcW w:type="dxa" w:w="1200"/>
            <w:gridSpan w:val="1"/>
            <w:tcBorders>
              <w:top w:val="single" w:color="D0D8E4" w:sz="1"/>
              <w:left w:val="single" w:color="D0D8E4" w:sz="1"/>
              <w:bottom w:val="single" w:color="D0D8E4" w:sz="1"/>
              <w:right w:val="single" w:color="D0D8E4" w:sz="1"/>
            </w:tcBorders>
            <w:shd w:fill="E3F2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Phase 3</w:t>
            </w:r>
          </w:p>
        </w:tc>
        <w:tc>
          <w:tcPr>
            <w:tcW w:type="dxa" w:w="21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1,000+ cores</w:t>
            </w:r>
          </w:p>
        </w:tc>
        <w:tc>
          <w:tcPr>
            <w:tcW w:type="dxa" w:w="216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15,200+ paths</w:t>
            </w:r>
          </w:p>
        </w:tc>
        <w:tc>
          <w:tcPr>
            <w:tcW w:type="dxa" w:w="20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4,000,000+</w:t>
            </w:r>
          </w:p>
        </w:tc>
        <w:tc>
          <w:tcPr>
            <w:tcW w:type="dxa" w:w="1800"/>
            <w:gridSpan w:val="1"/>
            <w:tcBorders>
              <w:top w:val="single" w:color="D0D8E4" w:sz="1"/>
              <w:left w:val="single" w:color="D0D8E4" w:sz="1"/>
              <w:bottom w:val="single" w:color="D0D8E4" w:sz="1"/>
              <w:right w:val="single" w:color="D0D8E4" w:sz="1"/>
            </w:tcBorders>
            <w:shd w:fill="E8F5E9"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Full scale</w:t>
            </w:r>
          </w:p>
        </w:tc>
      </w:tr>
    </w:tbl>
    <w:p>
      <w:pPr>
        <w:spacing w:before="80" w:after="0"/>
      </w:pPr>
      <w:r>
        <w:t xml:space="preserve"/>
      </w:r>
    </w:p>
    <w:p>
      <w:pPr>
        <w:spacing w:before="80" w:after="100"/>
      </w:pPr>
      <w:r>
        <w:rPr>
          <w:rFonts w:ascii="Arial" w:cs="Arial" w:eastAsia="Arial" w:hAnsi="Arial"/>
          <w:sz w:val="22"/>
          <w:szCs w:val="22"/>
        </w:rPr>
        <w:t xml:space="preserve">Note: PAI agent count is bounded by the number of T4 subscriber nodes (4 million households), not by MOCT core density. Core density expansion increases inter-node parallel E2E capacity (for AI-to-AI coordination between O8, D12, I20 layers), not subscriber count.</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6.2  The Quadratic E2E Scaling Advantage</w:t>
      </w:r>
    </w:p>
    <w:p>
      <w:pPr>
        <w:spacing w:before="80" w:after="100"/>
      </w:pPr>
      <w:r>
        <w:rPr>
          <w:rFonts w:ascii="Arial" w:cs="Arial" w:eastAsia="Arial" w:hAnsi="Arial"/>
          <w:sz w:val="22"/>
          <w:szCs w:val="22"/>
        </w:rPr>
        <w:t xml:space="preserve">The formula for maximum parallel E2E paths in Velsanet is:</w:t>
      </w:r>
    </w:p>
    <w:p>
      <w:pPr>
        <w:spacing w:before="60" w:after="0"/>
      </w:pPr>
      <w:r>
        <w:t xml:space="preserve"/>
      </w:r>
    </w:p>
    <w:p>
      <w:pPr>
        <w:pBdr>
          <w:top w:val="none" w:color="FFFFFF" w:sz="0"/>
          <w:left w:val="thick" w:color="2E6DB4" w:sz="12" w:space="8"/>
          <w:bottom w:val="none" w:color="FFFFFF" w:sz="0"/>
          <w:right w:val="none" w:color="FFFFFF" w:sz="0"/>
        </w:pBdr>
        <w:spacing w:before="160" w:after="160"/>
        <w:ind w:left="360"/>
      </w:pPr>
      <w:r>
        <w:rPr>
          <w:rFonts w:ascii="Arial" w:cs="Arial" w:eastAsia="Arial" w:hAnsi="Arial"/>
          <w:b/>
          <w:bCs/>
          <w:i/>
          <w:iCs/>
          <w:color w:val="0D1B3E"/>
          <w:sz w:val="23"/>
          <w:szCs w:val="23"/>
        </w:rPr>
        <w:t xml:space="preserve">Parallel E2E_max = 8 × N(N − 1) / 2    where N = number of faces on the polyhedron</w:t>
      </w:r>
    </w:p>
    <w:p>
      <w:pPr>
        <w:spacing w:before="80" w:after="0"/>
      </w:pPr>
      <w:r>
        <w:t xml:space="preserve"/>
      </w:r>
    </w:p>
    <w:p>
      <w:pPr>
        <w:spacing w:before="80" w:after="100"/>
      </w:pPr>
      <w:r>
        <w:rPr>
          <w:rFonts w:ascii="Arial" w:cs="Arial" w:eastAsia="Arial" w:hAnsi="Arial"/>
          <w:sz w:val="22"/>
          <w:szCs w:val="22"/>
        </w:rPr>
        <w:t xml:space="preserve">This formula scales quadratically with face count — meaning that each step up the polyhedral hierarchy delivers dramatically more inter-node path capacity. At Seoul deployment scale, with 230 I20 nodes each providing 1,520–15,200 parallel E2E paths depending on MOCT phase, the total inter-node path capacity across the Seoul AI organism ranges from 350,000 to 3,500,000 simultaneous deterministic paths — each physically isolated, zero-collision, and sub-10-ns latency.</w:t>
      </w:r>
    </w:p>
    <w:p>
      <w:pPr>
        <w:spacing w:before="80" w:after="0"/>
      </w:pPr>
      <w:r>
        <w:t xml:space="preserve"/>
      </w:r>
    </w:p>
    <w:p>
      <w:pPr>
        <w:spacing w:before="80" w:after="100"/>
      </w:pPr>
      <w:r>
        <w:rPr>
          <w:rFonts w:ascii="Arial" w:cs="Arial" w:eastAsia="Arial" w:hAnsi="Arial"/>
          <w:sz w:val="22"/>
          <w:szCs w:val="22"/>
        </w:rPr>
        <w:t xml:space="preserve">No conventional datacenter networking topology can provide this. InfiniBand HDR-200 at Ulsan provides ~25.6 TB/s aggregate fabric bandwidth, shared across all 70,000 racks via software-managed routing. Velsanet provides each AI agent with a physically isolated dedicated path — bandwidth is not shared, because the infrastructure does not permit sharing.</w:t>
      </w:r>
    </w:p>
    <w:p>
      <w:r>
        <w:br w:type="page"/>
      </w:r>
    </w:p>
    <w:p>
      <w:pPr>
        <w:pStyle w:val="Heading1"/>
        <w:spacing w:before="500" w:after="200"/>
      </w:pPr>
      <w:r>
        <w:rPr>
          <w:rFonts w:ascii="Arial" w:cs="Arial" w:eastAsia="Arial" w:hAnsi="Arial"/>
          <w:b/>
          <w:bCs/>
          <w:color w:val="0D1B3E"/>
          <w:sz w:val="44"/>
          <w:szCs w:val="44"/>
        </w:rPr>
        <w:t xml:space="preserve">7.  Strategic and Economic Implications</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7.1  The Infrastructure Sovereignty Argument</w:t>
      </w:r>
    </w:p>
    <w:p>
      <w:pPr>
        <w:spacing w:before="80" w:after="100"/>
      </w:pPr>
      <w:r>
        <w:rPr>
          <w:rFonts w:ascii="Arial" w:cs="Arial" w:eastAsia="Arial" w:hAnsi="Arial"/>
          <w:sz w:val="22"/>
          <w:szCs w:val="22"/>
        </w:rPr>
        <w:t xml:space="preserve">South Korea's $5.1 billion investment in the SK–AWS Ulsan datacenter represents the acquisition of cloud computing services from a US-headquartered commercial provider. The compute resources, the AI models, the inference APIs, and the terms of service are set by Amazon. South Korea pays for access.</w:t>
      </w:r>
    </w:p>
    <w:p>
      <w:pPr>
        <w:spacing w:before="60" w:after="0"/>
      </w:pPr>
      <w:r>
        <w:t xml:space="preserve"/>
      </w:r>
    </w:p>
    <w:p>
      <w:pPr>
        <w:spacing w:before="80" w:after="100"/>
      </w:pPr>
      <w:r>
        <w:rPr>
          <w:rFonts w:ascii="Arial" w:cs="Arial" w:eastAsia="Arial" w:hAnsi="Arial"/>
          <w:sz w:val="22"/>
          <w:szCs w:val="22"/>
        </w:rPr>
        <w:t xml:space="preserve">Velsanet's Seoul deployment changes this equation structurally. The topology is not owned by any provider — it is defined by mathematical structure (five polyhedral primitives) that belongs to no government and no corporation. National sovereignty is encoded in the Q4 layer of the hierarchy: each nation's nodes operate under their own Q4 governance space, federated into Q3 continental and Q2 global layers without any single entity controlling the whole.</w:t>
      </w:r>
    </w:p>
    <w:p>
      <w:pPr>
        <w:spacing w:before="60" w:after="0"/>
      </w:pPr>
      <w:r>
        <w:t xml:space="preserve"/>
      </w:r>
    </w:p>
    <w:p>
      <w:pPr>
        <w:pBdr>
          <w:top w:val="none" w:color="FFFFFF" w:sz="0"/>
          <w:left w:val="thick" w:color="1BA8C8" w:sz="12" w:space="8"/>
          <w:bottom w:val="none" w:color="FFFFFF" w:sz="0"/>
          <w:right w:val="none" w:color="FFFFFF" w:sz="0"/>
        </w:pBdr>
        <w:spacing w:before="160" w:after="160"/>
        <w:ind w:left="360"/>
      </w:pPr>
      <w:r>
        <w:rPr>
          <w:rFonts w:ascii="Arial" w:cs="Arial" w:eastAsia="Arial" w:hAnsi="Arial"/>
          <w:b/>
          <w:bCs/>
          <w:i/>
          <w:iCs/>
          <w:color w:val="0D1B3E"/>
          <w:sz w:val="23"/>
          <w:szCs w:val="23"/>
        </w:rPr>
        <w:t xml:space="preserve">"No government, no corporation can monopolize the network." — Velsanet Core Philosophy</w:t>
      </w:r>
    </w:p>
    <w:p>
      <w:pPr>
        <w:spacing w:before="80" w:after="0"/>
      </w:pPr>
      <w:r>
        <w:t xml:space="preserve"/>
      </w:r>
    </w:p>
    <w:p>
      <w:pPr>
        <w:spacing w:before="80" w:after="100"/>
      </w:pPr>
      <w:r>
        <w:rPr>
          <w:rFonts w:ascii="Arial" w:cs="Arial" w:eastAsia="Arial" w:hAnsi="Arial"/>
          <w:sz w:val="22"/>
          <w:szCs w:val="22"/>
        </w:rPr>
        <w:t xml:space="preserve">This is not a policy statement. It is an architectural property. The structure enforces it.</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7.2  The 6G Integration Opportunity</w:t>
      </w:r>
    </w:p>
    <w:p>
      <w:pPr>
        <w:spacing w:before="80" w:after="100"/>
      </w:pPr>
      <w:r>
        <w:rPr>
          <w:rFonts w:ascii="Arial" w:cs="Arial" w:eastAsia="Arial" w:hAnsi="Arial"/>
          <w:sz w:val="22"/>
          <w:szCs w:val="22"/>
        </w:rPr>
        <w:t xml:space="preserve">South Korea's 6G standardization timeline (IMT-2030 target) intersects precisely with Velsanet's deployment window. White Paper #22 (H6-Based 6G RAN Architecture) establishes that:</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The 6G base station connects to the H6 node face via MOCT ribbon cable — not through a software DU/CU stack. The RAN function split (DU/CU) is eliminated because the problems it solves do not exist in an optical-native architecture.</w:t>
      </w:r>
    </w:p>
    <w:p>
      <w:pPr>
        <w:pStyle w:val="ListParagraph"/>
        <w:numPr>
          <w:ilvl w:val="0"/>
          <w:numId w:val="2"/>
        </w:numPr>
        <w:spacing w:before="60" w:after="60"/>
      </w:pPr>
      <w:r>
        <w:rPr>
          <w:rFonts w:ascii="Arial" w:cs="Arial" w:eastAsia="Arial" w:hAnsi="Arial"/>
          <w:sz w:val="22"/>
          <w:szCs w:val="22"/>
        </w:rPr>
        <w:t xml:space="preserve">Seoul's ~900,000 utility poles, each equipped with a 6G RU connected to an H6 node via a 48-core MOCT ribbon, constitute a city-scale optical mesh covering 43.2 million simultaneous wireless device connections at 1 Tbps per core.</w:t>
      </w:r>
    </w:p>
    <w:p>
      <w:pPr>
        <w:pStyle w:val="ListParagraph"/>
        <w:numPr>
          <w:ilvl w:val="0"/>
          <w:numId w:val="2"/>
        </w:numPr>
        <w:spacing w:before="60" w:after="60"/>
      </w:pPr>
      <w:r>
        <w:rPr>
          <w:rFonts w:ascii="Arial" w:cs="Arial" w:eastAsia="Arial" w:hAnsi="Arial"/>
          <w:sz w:val="22"/>
          <w:szCs w:val="22"/>
        </w:rPr>
        <w:t xml:space="preserve">This mesh is not a 6G network that connects to a cloud AI service. It IS the AI service — at the physical layer.</w:t>
      </w:r>
    </w:p>
    <w:p>
      <w:pPr>
        <w:spacing w:before="120" w:after="0"/>
      </w:pPr>
      <w:r>
        <w:t xml:space="preserve"/>
      </w:r>
    </w:p>
    <w:p>
      <w:pPr>
        <w:pStyle w:val="Heading2"/>
        <w:spacing w:before="320" w:after="140"/>
      </w:pPr>
      <w:r>
        <w:rPr>
          <w:rFonts w:ascii="Arial" w:cs="Arial" w:eastAsia="Arial" w:hAnsi="Arial"/>
          <w:b/>
          <w:bCs/>
          <w:color w:val="1A4B8C"/>
          <w:sz w:val="32"/>
          <w:szCs w:val="32"/>
        </w:rPr>
        <w:t xml:space="preserve">7.3  Economic Model Comparison</w:t>
      </w:r>
    </w:p>
    <w:p>
      <w:pPr>
        <w:spacing w:before="80" w:after="100"/>
      </w:pPr>
      <w:r>
        <w:rPr>
          <w:rFonts w:ascii="Arial" w:cs="Arial" w:eastAsia="Arial" w:hAnsi="Arial"/>
          <w:sz w:val="22"/>
          <w:szCs w:val="22"/>
        </w:rPr>
        <w:t xml:space="preserve">The economic case for Velsanet over continued cloud expansion rests on three structural advantages: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Economic dimension</w:t>
            </w:r>
          </w:p>
        </w:tc>
        <w:tc>
          <w:tcPr>
            <w:tcW w:type="dxa" w:w="324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AWS / Cloud model</w:t>
            </w:r>
          </w:p>
        </w:tc>
        <w:tc>
          <w:tcPr>
            <w:tcW w:type="dxa" w:w="324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Velsanet model</w:t>
            </w:r>
          </w:p>
        </w:tc>
      </w:tr>
      <w:tr>
        <w:tc>
          <w:tcPr>
            <w:tcW w:type="dxa" w:w="288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Capital model</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Recurring OPEX (pay-per-use cloud services)</w:t>
            </w:r>
          </w:p>
        </w:tc>
        <w:tc>
          <w:tcPr>
            <w:tcW w:type="dxa" w:w="324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One-time structural CAPEX — the topology does not depreciate</w:t>
            </w:r>
          </w:p>
        </w:tc>
      </w:tr>
      <w:tr>
        <w:tc>
          <w:tcPr>
            <w:tcW w:type="dxa" w:w="288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Revenue model</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Value captured by cloud provider (AWS/Amazon)</w:t>
            </w:r>
          </w:p>
        </w:tc>
        <w:tc>
          <w:tcPr>
            <w:tcW w:type="dxa" w:w="324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Value retained in national infrastructure; operator captures subscriber E2E fees</w:t>
            </w:r>
          </w:p>
        </w:tc>
      </w:tr>
      <w:tr>
        <w:tc>
          <w:tcPr>
            <w:tcW w:type="dxa" w:w="288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Power cost</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~1 GW continuous (Ulsan reference)</w:t>
            </w:r>
          </w:p>
        </w:tc>
        <w:tc>
          <w:tcPr>
            <w:tcW w:type="dxa" w:w="324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~400–500 MW — 50–60% reduction → ~$200M/year electricity savings at $0.08/kWh</w:t>
            </w:r>
          </w:p>
        </w:tc>
      </w:tr>
      <w:tr>
        <w:tc>
          <w:tcPr>
            <w:tcW w:type="dxa" w:w="288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PAI subscription base</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0 (subscribers use external AI services)</w:t>
            </w:r>
          </w:p>
        </w:tc>
        <w:tc>
          <w:tcPr>
            <w:tcW w:type="dxa" w:w="324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4,000,000 households × structural PAI connectivity fee (e.g., ₩10,000/mo = ₩40B/mo = ₩480B/yr)</w:t>
            </w:r>
          </w:p>
        </w:tc>
      </w:tr>
      <w:tr>
        <w:tc>
          <w:tcPr>
            <w:tcW w:type="dxa" w:w="288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Public safety infrastructure</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Separate government-contracted systems</w:t>
            </w:r>
          </w:p>
        </w:tc>
        <w:tc>
          <w:tcPr>
            <w:tcW w:type="dxa" w:w="324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Structurally integrated in public E2E optical core — city pays once, serves perpetually</w:t>
            </w:r>
          </w:p>
        </w:tc>
      </w:tr>
    </w:tbl>
    <w:p>
      <w:r>
        <w:br w:type="page"/>
      </w:r>
    </w:p>
    <w:p>
      <w:pPr>
        <w:pStyle w:val="Heading1"/>
        <w:spacing w:before="500" w:after="200"/>
      </w:pPr>
      <w:r>
        <w:rPr>
          <w:rFonts w:ascii="Arial" w:cs="Arial" w:eastAsia="Arial" w:hAnsi="Arial"/>
          <w:b/>
          <w:bCs/>
          <w:color w:val="0D1B3E"/>
          <w:sz w:val="44"/>
          <w:szCs w:val="44"/>
        </w:rPr>
        <w:t xml:space="preserve">8.  The CAIO Decision Framework</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8.1  What This Means for a Chief AI Officer</w:t>
      </w:r>
    </w:p>
    <w:p>
      <w:pPr>
        <w:spacing w:before="80" w:after="100"/>
      </w:pPr>
      <w:r>
        <w:rPr>
          <w:rFonts w:ascii="Arial" w:cs="Arial" w:eastAsia="Arial" w:hAnsi="Arial"/>
          <w:sz w:val="22"/>
          <w:szCs w:val="22"/>
        </w:rPr>
        <w:t xml:space="preserve">A Chief AI Officer evaluating AI infrastructure in 2026 faces a binary strategic choice that will define their organization's position for the next decade: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Strategic question</w:t>
            </w:r>
          </w:p>
        </w:tc>
        <w:tc>
          <w:tcPr>
            <w:tcW w:type="dxa" w:w="31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Cloud (AWS / Azure / GCP) answer</w:t>
            </w:r>
          </w:p>
        </w:tc>
        <w:tc>
          <w:tcPr>
            <w:tcW w:type="dxa" w:w="318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Velsanet answer</w:t>
            </w:r>
          </w:p>
        </w:tc>
      </w:tr>
      <w:tr>
        <w:tc>
          <w:tcPr>
            <w:tcW w:type="dxa" w:w="30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Where does AI live?</w:t>
            </w:r>
          </w:p>
        </w:tc>
        <w:tc>
          <w:tcPr>
            <w:tcW w:type="dxa" w:w="31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In a remote datacenter, accessed via API</w:t>
            </w:r>
          </w:p>
        </w:tc>
        <w:tc>
          <w:tcPr>
            <w:tcW w:type="dxa" w:w="31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In the structural fabric of the network itself</w:t>
            </w:r>
          </w:p>
        </w:tc>
      </w:tr>
      <w:tr>
        <w:tc>
          <w:tcPr>
            <w:tcW w:type="dxa" w:w="30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Who owns the AI context?</w:t>
            </w:r>
          </w:p>
        </w:tc>
        <w:tc>
          <w:tcPr>
            <w:tcW w:type="dxa" w:w="31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The cloud provider (their servers hold user data)</w:t>
            </w:r>
          </w:p>
        </w:tc>
        <w:tc>
          <w:tcPr>
            <w:tcW w:type="dxa" w:w="31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The user — physical optical core, not observable by any provider</w:t>
            </w:r>
          </w:p>
        </w:tc>
      </w:tr>
      <w:tr>
        <w:tc>
          <w:tcPr>
            <w:tcW w:type="dxa" w:w="30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What is the latency floor?</w:t>
            </w:r>
          </w:p>
        </w:tc>
        <w:tc>
          <w:tcPr>
            <w:tcW w:type="dxa" w:w="31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0.5–2 ms minimum (internet + scheduling)</w:t>
            </w:r>
          </w:p>
        </w:tc>
        <w:tc>
          <w:tcPr>
            <w:tcW w:type="dxa" w:w="31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&lt;0.1 ms deterministic (no jitter, ever)</w:t>
            </w:r>
          </w:p>
        </w:tc>
      </w:tr>
      <w:tr>
        <w:tc>
          <w:tcPr>
            <w:tcW w:type="dxa" w:w="30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Can AI agents coordinate in real time?</w:t>
            </w:r>
          </w:p>
        </w:tc>
        <w:tc>
          <w:tcPr>
            <w:tcW w:type="dxa" w:w="31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Yes, but via shared network fabric with contention</w:t>
            </w:r>
          </w:p>
        </w:tc>
        <w:tc>
          <w:tcPr>
            <w:tcW w:type="dxa" w:w="31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Yes — physically isolated paths, &lt;10 ns inter-agent latency</w:t>
            </w:r>
          </w:p>
        </w:tc>
      </w:tr>
      <w:tr>
        <w:tc>
          <w:tcPr>
            <w:tcW w:type="dxa" w:w="30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How is AI safety enforced?</w:t>
            </w:r>
          </w:p>
        </w:tc>
        <w:tc>
          <w:tcPr>
            <w:tcW w:type="dxa" w:w="31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Post-hoc software policy (auditable but bypassable)</w:t>
            </w:r>
          </w:p>
        </w:tc>
        <w:tc>
          <w:tcPr>
            <w:tcW w:type="dxa" w:w="31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Structural invariant — certain actions are architecturally impossible</w:t>
            </w:r>
          </w:p>
        </w:tc>
      </w:tr>
      <w:tr>
        <w:tc>
          <w:tcPr>
            <w:tcW w:type="dxa" w:w="30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What happens when the provider changes terms?</w:t>
            </w:r>
          </w:p>
        </w:tc>
        <w:tc>
          <w:tcPr>
            <w:tcW w:type="dxa" w:w="31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Infrastructure dependency — operator has no alternative</w:t>
            </w:r>
          </w:p>
        </w:tc>
        <w:tc>
          <w:tcPr>
            <w:tcW w:type="dxa" w:w="31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No provider owns the topology — the structure belongs to no one</w:t>
            </w:r>
          </w:p>
        </w:tc>
      </w:tr>
      <w:tr>
        <w:tc>
          <w:tcPr>
            <w:tcW w:type="dxa" w:w="3000"/>
            <w:gridSpan w:val="1"/>
            <w:tcBorders>
              <w:top w:val="single" w:color="D0D8E4" w:sz="1"/>
              <w:left w:val="single" w:color="D0D8E4" w:sz="1"/>
              <w:bottom w:val="single" w:color="D0D8E4" w:sz="1"/>
              <w:right w:val="single" w:color="D0D8E4" w:sz="1"/>
            </w:tcBorders>
            <w:shd w:fill="F0F4F8"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How does this scale?</w:t>
            </w:r>
          </w:p>
        </w:tc>
        <w:tc>
          <w:tcPr>
            <w:tcW w:type="dxa" w:w="318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Linear — more servers, more money, same paradigm</w:t>
            </w:r>
          </w:p>
        </w:tc>
        <w:tc>
          <w:tcPr>
            <w:tcW w:type="dxa" w:w="3180"/>
            <w:gridSpan w:val="1"/>
            <w:tcBorders>
              <w:top w:val="single" w:color="D0D8E4" w:sz="1"/>
              <w:left w:val="single" w:color="D0D8E4" w:sz="1"/>
              <w:bottom w:val="single" w:color="D0D8E4" w:sz="1"/>
              <w:right w:val="single" w:color="D0D8E4" w:sz="1"/>
            </w:tcBorders>
            <w:shd w:fill="E8F4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Topological — each new node is part of the organism, not a separate resource</w:t>
            </w:r>
          </w:p>
        </w:tc>
      </w:tr>
    </w:tbl>
    <w:p>
      <w:pPr>
        <w:spacing w:before="120" w:after="0"/>
      </w:pPr>
      <w:r>
        <w:t xml:space="preserve"/>
      </w:r>
    </w:p>
    <w:p>
      <w:pPr>
        <w:pStyle w:val="Heading2"/>
        <w:spacing w:before="320" w:after="140"/>
      </w:pPr>
      <w:r>
        <w:rPr>
          <w:rFonts w:ascii="Arial" w:cs="Arial" w:eastAsia="Arial" w:hAnsi="Arial"/>
          <w:b/>
          <w:bCs/>
          <w:color w:val="1A4B8C"/>
          <w:sz w:val="32"/>
          <w:szCs w:val="32"/>
        </w:rPr>
        <w:t xml:space="preserve">8.2  The 2029 Window</w:t>
      </w:r>
    </w:p>
    <w:p>
      <w:pPr>
        <w:spacing w:before="80" w:after="100"/>
      </w:pPr>
      <w:r>
        <w:rPr>
          <w:rFonts w:ascii="Arial" w:cs="Arial" w:eastAsia="Arial" w:hAnsi="Arial"/>
          <w:sz w:val="22"/>
          <w:szCs w:val="22"/>
        </w:rPr>
        <w:t xml:space="preserve">The SK–AWS Ulsan datacenter reaches full capacity in February 2029. This is the critical window. An organization that commits to the AWS infrastructure model in 2025–2026 is making a 15–20 year infrastructure bet. The question for a CAIO is not whether Velsanet is ready today — the research lab is being established, hardware validation is pending. The question is: which architectural trajectory leads to the right place in 2035?</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The trajectory that leads to AI as a service, accessed from a remote datacenter, owned by a foreign commercial provider, at millisecond latency.</w:t>
      </w:r>
    </w:p>
    <w:p>
      <w:pPr>
        <w:pStyle w:val="ListParagraph"/>
        <w:numPr>
          <w:ilvl w:val="0"/>
          <w:numId w:val="2"/>
        </w:numPr>
        <w:spacing w:before="60" w:after="60"/>
      </w:pPr>
      <w:r>
        <w:rPr>
          <w:rFonts w:ascii="Arial" w:cs="Arial" w:eastAsia="Arial" w:hAnsi="Arial"/>
          <w:sz w:val="22"/>
          <w:szCs w:val="22"/>
        </w:rPr>
        <w:t xml:space="preserve">Or the trajectory that leads to AI as infrastructure, embedded in the physical fabric of the nation's network, owned by no single entity, at sub-100-microsecond latency, with 4 million households as structural participants — not consumers.</w:t>
      </w:r>
    </w:p>
    <w:p>
      <w:pPr>
        <w:spacing w:before="80" w:after="0"/>
      </w:pPr>
      <w:r>
        <w:t xml:space="preserve"/>
      </w:r>
    </w:p>
    <w:p>
      <w:pPr>
        <w:pBdr>
          <w:top w:val="none" w:color="FFFFFF" w:sz="0"/>
          <w:left w:val="thick" w:color="1BA8C8" w:sz="12" w:space="8"/>
          <w:bottom w:val="none" w:color="FFFFFF" w:sz="0"/>
          <w:right w:val="none" w:color="FFFFFF" w:sz="0"/>
        </w:pBdr>
        <w:spacing w:before="160" w:after="160"/>
        <w:ind w:left="360"/>
      </w:pPr>
      <w:r>
        <w:rPr>
          <w:rFonts w:ascii="Arial" w:cs="Arial" w:eastAsia="Arial" w:hAnsi="Arial"/>
          <w:b/>
          <w:bCs/>
          <w:i/>
          <w:iCs/>
          <w:color w:val="0D1B3E"/>
          <w:sz w:val="23"/>
          <w:szCs w:val="23"/>
        </w:rPr>
        <w:t xml:space="preserve">Velsanet is not competing with AWS for datacenter market share. It is proposing a different ontology for what AI infrastructure is — and positioning Korea to define that ontology globally, through ITU-T standardization, before anyone else does.</w:t>
      </w:r>
    </w:p>
    <w:p>
      <w:r>
        <w:br w:type="page"/>
      </w:r>
    </w:p>
    <w:p>
      <w:pPr>
        <w:pStyle w:val="Heading1"/>
        <w:spacing w:before="500" w:after="200"/>
      </w:pPr>
      <w:r>
        <w:rPr>
          <w:rFonts w:ascii="Arial" w:cs="Arial" w:eastAsia="Arial" w:hAnsi="Arial"/>
          <w:b/>
          <w:bCs/>
          <w:color w:val="0D1B3E"/>
          <w:sz w:val="44"/>
          <w:szCs w:val="44"/>
        </w:rPr>
        <w:t xml:space="preserve">9.  Seoul Deployment Roadmap</w:t>
      </w:r>
    </w:p>
    <w:p>
      <w:pPr>
        <w:pBdr>
          <w:bottom w:val="single" w:color="2E6DB4" w:sz="6" w:space="1"/>
        </w:pBdr>
        <w:spacing w:before="200" w:after="200"/>
      </w:pPr>
      <w:r>
        <w:t xml:space="preserve"/>
      </w:r>
    </w:p>
    <w:p>
      <w:pPr>
        <w:pStyle w:val="Heading2"/>
        <w:spacing w:before="320" w:after="140"/>
      </w:pPr>
      <w:r>
        <w:rPr>
          <w:rFonts w:ascii="Arial" w:cs="Arial" w:eastAsia="Arial" w:hAnsi="Arial"/>
          <w:b/>
          <w:bCs/>
          <w:color w:val="1A4B8C"/>
          <w:sz w:val="32"/>
          <w:szCs w:val="32"/>
        </w:rPr>
        <w:t xml:space="preserve">9.1  Phased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c>
          <w:tcPr>
            <w:tcW w:type="dxa" w:w="144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Phase</w:t>
            </w:r>
          </w:p>
        </w:tc>
        <w:tc>
          <w:tcPr>
            <w:tcW w:type="dxa" w:w="144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Timeline</w:t>
            </w:r>
          </w:p>
        </w:tc>
        <w:tc>
          <w:tcPr>
            <w:tcW w:type="dxa" w:w="324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Scope</w:t>
            </w:r>
          </w:p>
        </w:tc>
        <w:tc>
          <w:tcPr>
            <w:tcW w:type="dxa" w:w="3240"/>
            <w:gridSpan w:val="1"/>
            <w:tcBorders>
              <w:top w:val="single" w:color="D0D8E4" w:sz="1"/>
              <w:left w:val="single" w:color="D0D8E4" w:sz="1"/>
              <w:bottom w:val="single" w:color="D0D8E4" w:sz="1"/>
              <w:right w:val="single" w:color="D0D8E4" w:sz="1"/>
            </w:tcBorders>
            <w:shd w:fill="0D1B3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Milestone</w:t>
            </w:r>
          </w:p>
        </w:tc>
      </w:tr>
      <w:tr>
        <w:tc>
          <w:tcPr>
            <w:tcW w:type="dxa" w:w="1440"/>
            <w:gridSpan w:val="1"/>
            <w:tcBorders>
              <w:top w:val="single" w:color="D0D8E4" w:sz="1"/>
              <w:left w:val="single" w:color="D0D8E4" w:sz="1"/>
              <w:bottom w:val="single" w:color="D0D8E4" w:sz="1"/>
              <w:right w:val="single" w:color="D0D8E4" w:sz="1"/>
            </w:tcBorders>
            <w:shd w:fill="E3F2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0 — Lab</w:t>
            </w:r>
          </w:p>
        </w:tc>
        <w:tc>
          <w:tcPr>
            <w:tcW w:type="dxa" w:w="14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2026</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Velsanet Research Institute established. MOCT Phase 1 prototype. 100-node pilot network.</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Hardware validation. First E2E optical path. PAI agent live demo.</w:t>
            </w:r>
          </w:p>
        </w:tc>
      </w:tr>
      <w:tr>
        <w:tc>
          <w:tcPr>
            <w:tcW w:type="dxa" w:w="1440"/>
            <w:gridSpan w:val="1"/>
            <w:tcBorders>
              <w:top w:val="single" w:color="D0D8E4" w:sz="1"/>
              <w:left w:val="single" w:color="D0D8E4" w:sz="1"/>
              <w:bottom w:val="single" w:color="D0D8E4" w:sz="1"/>
              <w:right w:val="single" w:color="D0D8E4" w:sz="1"/>
            </w:tcBorders>
            <w:shd w:fill="E3F2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1 — District</w:t>
            </w:r>
          </w:p>
        </w:tc>
        <w:tc>
          <w:tcPr>
            <w:tcW w:type="dxa" w:w="14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2027</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One Seoul district (gu): ~100,000 households. 200,000 optical cores. First City-level E2E Management Center. Full T4→I20 hierarchy operational.</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First structural PAI deployment. 7 public safety channels live. 100,000 households structurally connected.</w:t>
            </w:r>
          </w:p>
        </w:tc>
      </w:tr>
      <w:tr>
        <w:tc>
          <w:tcPr>
            <w:tcW w:type="dxa" w:w="1440"/>
            <w:gridSpan w:val="1"/>
            <w:tcBorders>
              <w:top w:val="single" w:color="D0D8E4" w:sz="1"/>
              <w:left w:val="single" w:color="D0D8E4" w:sz="1"/>
              <w:bottom w:val="single" w:color="D0D8E4" w:sz="1"/>
              <w:right w:val="single" w:color="D0D8E4" w:sz="1"/>
            </w:tcBorders>
            <w:shd w:fill="E3F2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2 — Metro</w:t>
            </w:r>
          </w:p>
        </w:tc>
        <w:tc>
          <w:tcPr>
            <w:tcW w:type="dxa" w:w="14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2028</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Full Seoul city: 4M households, 8M optical cores, 55,600 O8 nodes, 4,600 D12 nodes, 230 I20 nodes. 6G H6 integration across 400,000 utility poles.</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4,000,000 PAI agents active. Parallel E2E: 350,000 deterministic paths. Full public safety fabric live.</w:t>
            </w:r>
          </w:p>
        </w:tc>
      </w:tr>
      <w:tr>
        <w:tc>
          <w:tcPr>
            <w:tcW w:type="dxa" w:w="1440"/>
            <w:gridSpan w:val="1"/>
            <w:tcBorders>
              <w:top w:val="single" w:color="D0D8E4" w:sz="1"/>
              <w:left w:val="single" w:color="D0D8E4" w:sz="1"/>
              <w:bottom w:val="single" w:color="D0D8E4" w:sz="1"/>
              <w:right w:val="single" w:color="D0D8E4" w:sz="1"/>
            </w:tcBorders>
            <w:shd w:fill="E3F2FD" w:val="clear"/>
            <w:tcMar>
              <w:top w:type="dxa" w:w="100"/>
              <w:left w:type="dxa" w:w="140"/>
              <w:bottom w:type="dxa" w:w="100"/>
              <w:right w:type="dxa" w:w="140"/>
            </w:tcMar>
            <w:vAlign w:val="center"/>
          </w:tcPr>
          <w:p>
            <w:pPr>
              <w:spacing w:before="0" w:after="0"/>
              <w:jc w:val="left"/>
            </w:pPr>
            <w:r>
              <w:rPr>
                <w:rFonts w:ascii="Arial" w:cs="Arial" w:eastAsia="Arial" w:hAnsi="Arial"/>
                <w:b/>
                <w:bCs/>
                <w:color w:val="4A5568"/>
                <w:sz w:val="19"/>
                <w:szCs w:val="19"/>
              </w:rPr>
              <w:t xml:space="preserve">3 — National</w:t>
            </w:r>
          </w:p>
        </w:tc>
        <w:tc>
          <w:tcPr>
            <w:tcW w:type="dxa" w:w="14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2029–2030</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Seoul + 6 metropolitan cities + Ulsan AI node. Q4 national sovereignty layer active. ITU-T SG13 standardization complete. MOCT Phase 2/3 (500–1000+ cores).</w:t>
            </w:r>
          </w:p>
        </w:tc>
        <w:tc>
          <w:tcPr>
            <w:tcW w:type="dxa" w:w="3240"/>
            <w:gridSpan w:val="1"/>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A5568"/>
                <w:sz w:val="19"/>
                <w:szCs w:val="19"/>
              </w:rPr>
              <w:t xml:space="preserve">National AI organism operational. First ITU-T-standard AI-native network. Parallel E2E: 3.5M+ paths nationally.</w:t>
            </w:r>
          </w:p>
        </w:tc>
      </w:tr>
    </w:tbl>
    <w:p>
      <w:pPr>
        <w:spacing w:before="120" w:after="0"/>
      </w:pPr>
      <w:r>
        <w:t xml:space="preserve"/>
      </w:r>
    </w:p>
    <w:p>
      <w:pPr>
        <w:pStyle w:val="Heading2"/>
        <w:spacing w:before="320" w:after="140"/>
      </w:pPr>
      <w:r>
        <w:rPr>
          <w:rFonts w:ascii="Arial" w:cs="Arial" w:eastAsia="Arial" w:hAnsi="Arial"/>
          <w:b/>
          <w:bCs/>
          <w:color w:val="1A4B8C"/>
          <w:sz w:val="32"/>
          <w:szCs w:val="32"/>
        </w:rPr>
        <w:t xml:space="preserve">9.2  Prerequisites and Dependencies</w:t>
      </w:r>
    </w:p>
    <w:p>
      <w:pPr>
        <w:pStyle w:val="ListParagraph"/>
        <w:numPr>
          <w:ilvl w:val="0"/>
          <w:numId w:val="2"/>
        </w:numPr>
        <w:spacing w:before="60" w:after="60"/>
      </w:pPr>
      <w:r>
        <w:rPr>
          <w:rFonts w:ascii="Arial" w:cs="Arial" w:eastAsia="Arial" w:hAnsi="Arial"/>
          <w:sz w:val="22"/>
          <w:szCs w:val="22"/>
        </w:rPr>
        <w:t xml:space="preserve">Velsanet Research Laboratory establishment (Saemangeum Special Zone proposed) — hardware fabrication, MOCT prototype testing, silicon photonics integration validation.</w:t>
      </w:r>
    </w:p>
    <w:p>
      <w:pPr>
        <w:pStyle w:val="ListParagraph"/>
        <w:numPr>
          <w:ilvl w:val="0"/>
          <w:numId w:val="2"/>
        </w:numPr>
        <w:spacing w:before="60" w:after="60"/>
      </w:pPr>
      <w:r>
        <w:rPr>
          <w:rFonts w:ascii="Arial" w:cs="Arial" w:eastAsia="Arial" w:hAnsi="Arial"/>
          <w:sz w:val="22"/>
          <w:szCs w:val="22"/>
        </w:rPr>
        <w:t xml:space="preserve">ITU-T SG13 contribution acceptance — White Papers submitted for WP-B (Optical-Native E2E) and WP-AI-GOV (AI Governance Architecture). Standardization provides the international framework for interoperability and sovereign adoption.</w:t>
      </w:r>
    </w:p>
    <w:p>
      <w:pPr>
        <w:pStyle w:val="ListParagraph"/>
        <w:numPr>
          <w:ilvl w:val="0"/>
          <w:numId w:val="2"/>
        </w:numPr>
        <w:spacing w:before="60" w:after="60"/>
      </w:pPr>
      <w:r>
        <w:rPr>
          <w:rFonts w:ascii="Arial" w:cs="Arial" w:eastAsia="Arial" w:hAnsi="Arial"/>
          <w:sz w:val="22"/>
          <w:szCs w:val="22"/>
        </w:rPr>
        <w:t xml:space="preserve">Ministry of Science and ICT (MSIT) partnership — integration with Korea's existing 6G standardization roadmap and AI National Committee. Government adoption of T4 dual-core structure as the national household connectivity standard would accelerate deployment at scale.</w:t>
      </w:r>
    </w:p>
    <w:p>
      <w:pPr>
        <w:pStyle w:val="ListParagraph"/>
        <w:numPr>
          <w:ilvl w:val="0"/>
          <w:numId w:val="2"/>
        </w:numPr>
        <w:spacing w:before="60" w:after="60"/>
      </w:pPr>
      <w:r>
        <w:rPr>
          <w:rFonts w:ascii="Arial" w:cs="Arial" w:eastAsia="Arial" w:hAnsi="Arial"/>
          <w:sz w:val="22"/>
          <w:szCs w:val="22"/>
        </w:rPr>
        <w:t xml:space="preserve">MOCT Phase 1 fabrication — silicon photonics process at 100 optical cores per node. Partnership with TSMC or Samsung Foundry for 3nm BEOL integration of photonic waveguides.</w:t>
      </w:r>
    </w:p>
    <w:p>
      <w:pPr>
        <w:pStyle w:val="ListParagraph"/>
        <w:numPr>
          <w:ilvl w:val="0"/>
          <w:numId w:val="2"/>
        </w:numPr>
        <w:spacing w:before="60" w:after="60"/>
      </w:pPr>
      <w:r>
        <w:rPr>
          <w:rFonts w:ascii="Arial" w:cs="Arial" w:eastAsia="Arial" w:hAnsi="Arial"/>
          <w:sz w:val="22"/>
          <w:szCs w:val="22"/>
        </w:rPr>
        <w:t xml:space="preserve">VXU-1 chip tape-out — first silicon for the Velsanet Execution Unit, implementing T4/H6/O8 in ASIC form with on-die Semantic Cache Array and photonic IPR interconnect.</w:t>
      </w:r>
    </w:p>
    <w:p>
      <w:r>
        <w:br w:type="page"/>
      </w:r>
    </w:p>
    <w:p>
      <w:pPr>
        <w:pStyle w:val="Heading1"/>
        <w:spacing w:before="500" w:after="200"/>
      </w:pPr>
      <w:r>
        <w:rPr>
          <w:rFonts w:ascii="Arial" w:cs="Arial" w:eastAsia="Arial" w:hAnsi="Arial"/>
          <w:b/>
          <w:bCs/>
          <w:color w:val="0D1B3E"/>
          <w:sz w:val="44"/>
          <w:szCs w:val="44"/>
        </w:rPr>
        <w:t xml:space="preserve">10.  Conclusion — A Different Kind of Infrastructure</w:t>
      </w:r>
    </w:p>
    <w:p>
      <w:pPr>
        <w:pBdr>
          <w:bottom w:val="single" w:color="2E6DB4" w:sz="6" w:space="1"/>
        </w:pBdr>
        <w:spacing w:before="200" w:after="200"/>
      </w:pPr>
      <w:r>
        <w:t xml:space="preserve"/>
      </w:r>
    </w:p>
    <w:p>
      <w:pPr>
        <w:spacing w:before="80" w:after="100"/>
      </w:pPr>
      <w:r>
        <w:rPr>
          <w:rFonts w:ascii="Arial" w:cs="Arial" w:eastAsia="Arial" w:hAnsi="Arial"/>
          <w:sz w:val="22"/>
          <w:szCs w:val="22"/>
        </w:rPr>
        <w:t xml:space="preserve">South Korea stands at a strategic inflection point. The $5.1 billion SK–AWS Ulsan investment represents the pinnacle of conventional AI infrastructure: powerful, well-engineered, and deeply embedded in a commercial paradigm that Korea does not control.</w:t>
      </w:r>
    </w:p>
    <w:p>
      <w:pPr>
        <w:spacing w:before="80" w:after="0"/>
      </w:pPr>
      <w:r>
        <w:t xml:space="preserve"/>
      </w:r>
    </w:p>
    <w:p>
      <w:pPr>
        <w:spacing w:before="80" w:after="100"/>
      </w:pPr>
      <w:r>
        <w:rPr>
          <w:rFonts w:ascii="Arial" w:cs="Arial" w:eastAsia="Arial" w:hAnsi="Arial"/>
          <w:sz w:val="22"/>
          <w:szCs w:val="22"/>
        </w:rPr>
        <w:t xml:space="preserve">Velsanet offers a different answer — not a better datacenter, but a different ontology for what AI infrastructure is. It proposes that the Seoul Metropolitan Region, already the world's most connected society, can become not merely a consumer of AI services but the physical embodiment of a living AI intelligence organism: 4 million household nodes, 43 million wireless device connections, a full five-layer polyhedral intelligence hierarchy from personal AI to sovereign AI, and 15,200+ physically isolated parallel E2E paths — all at approximately half the power consumption of the AWS reference deployment.</w:t>
      </w:r>
    </w:p>
    <w:p>
      <w:pPr>
        <w:spacing w:before="80" w:after="0"/>
      </w:pPr>
      <w:r>
        <w:t xml:space="preserve"/>
      </w:r>
    </w:p>
    <w:p>
      <w:pPr>
        <w:spacing w:before="80" w:after="100"/>
      </w:pPr>
      <w:r>
        <w:rPr>
          <w:rFonts w:ascii="Arial" w:cs="Arial" w:eastAsia="Arial" w:hAnsi="Arial"/>
          <w:sz w:val="22"/>
          <w:szCs w:val="22"/>
        </w:rPr>
        <w:t xml:space="preserve">The dual optical core model (public + PAI per household) is perhaps the most important structural innovation: it makes AI sovereignty not a regulatory promise but a physical fact. No government can observe the PAI core. No commercial provider can access it. The household owns its intelligence absolutely — because ownership is encoded in the physics of the optical fiber.</w:t>
      </w:r>
    </w:p>
    <w:p>
      <w:pPr>
        <w:spacing w:before="80" w:after="0"/>
      </w:pPr>
      <w:r>
        <w:t xml:space="preserve"/>
      </w:r>
    </w:p>
    <w:p>
      <w:pPr>
        <w:pBdr>
          <w:top w:val="none" w:color="FFFFFF" w:sz="0"/>
          <w:left w:val="thick" w:color="1BA8C8" w:sz="12" w:space="8"/>
          <w:bottom w:val="none" w:color="FFFFFF" w:sz="0"/>
          <w:right w:val="none" w:color="FFFFFF" w:sz="0"/>
        </w:pBdr>
        <w:spacing w:before="160" w:after="160"/>
        <w:ind w:left="360"/>
      </w:pPr>
      <w:r>
        <w:rPr>
          <w:rFonts w:ascii="Arial" w:cs="Arial" w:eastAsia="Arial" w:hAnsi="Arial"/>
          <w:b/>
          <w:bCs/>
          <w:i/>
          <w:iCs/>
          <w:color w:val="0D1B3E"/>
          <w:sz w:val="23"/>
          <w:szCs w:val="23"/>
        </w:rPr>
        <w:t xml:space="preserve">Velsanet's principle: Structure is intelligence. Topology is compute. The network is the AI.</w:t>
      </w:r>
    </w:p>
    <w:p>
      <w:pPr>
        <w:spacing w:before="80" w:after="0"/>
      </w:pPr>
      <w:r>
        <w:t xml:space="preserve"/>
      </w:r>
    </w:p>
    <w:p>
      <w:pPr>
        <w:spacing w:before="80" w:after="100"/>
      </w:pPr>
      <w:r>
        <w:rPr>
          <w:rFonts w:ascii="Arial" w:cs="Arial" w:eastAsia="Arial" w:hAnsi="Arial"/>
          <w:sz w:val="22"/>
          <w:szCs w:val="22"/>
        </w:rPr>
        <w:t xml:space="preserve">This document is a call to act on that principle — before 2029 locks Korea into a different kind of future.</w:t>
      </w:r>
    </w:p>
    <w:p>
      <w:pPr>
        <w:pBdr>
          <w:bottom w:val="single" w:color="2E6DB4" w:sz="6" w:space="1"/>
        </w:pBdr>
        <w:spacing w:before="200" w:after="200"/>
      </w:pPr>
      <w:r>
        <w:t xml:space="preserve"/>
      </w:r>
    </w:p>
    <w:p>
      <w:pPr>
        <w:spacing w:before="100" w:after="0"/>
      </w:pPr>
      <w:r>
        <w:t xml:space="preserve"/>
      </w:r>
    </w:p>
    <w:p>
      <w:pPr>
        <w:spacing w:before="80" w:after="80"/>
        <w:jc w:val="center"/>
      </w:pPr>
      <w:r>
        <w:rPr>
          <w:rFonts w:ascii="Arial" w:cs="Arial" w:eastAsia="Arial" w:hAnsi="Arial"/>
          <w:color w:val="4A5568"/>
          <w:sz w:val="20"/>
          <w:szCs w:val="20"/>
        </w:rPr>
        <w:t xml:space="preserve">Velsanet Architecture Group  ·  Velsanet Research Institute (Proposed)</w:t>
      </w:r>
    </w:p>
    <w:p>
      <w:pPr>
        <w:spacing w:before="0" w:after="80"/>
        <w:jc w:val="center"/>
      </w:pPr>
      <w:r>
        <w:rPr>
          <w:rFonts w:ascii="Arial" w:cs="Arial" w:eastAsia="Arial" w:hAnsi="Arial"/>
          <w:color w:val="4A5568"/>
          <w:sz w:val="20"/>
          <w:szCs w:val="20"/>
        </w:rPr>
        <w:t xml:space="preserve">Saemangeum Special Zone  ·  Republic of Korea  ·  2026</w:t>
      </w:r>
    </w:p>
    <w:p>
      <w:pPr>
        <w:jc w:val="center"/>
      </w:pPr>
      <w:r>
        <w:rPr>
          <w:rFonts w:ascii="Arial" w:cs="Arial" w:eastAsia="Arial" w:hAnsi="Arial"/>
          <w:color w:val="2E6DB4"/>
          <w:sz w:val="18"/>
          <w:szCs w:val="18"/>
        </w:rPr>
        <w:t xml:space="preserve">github.com/joa337/velsanet-whitepapers  ·  ITU-T SG13 Contribution Active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0D1B3E"/>
      <w:sz w:val="44"/>
      <w:szCs w:val="44"/>
    </w:rPr>
  </w:style>
  <w:style w:type="paragraph" w:styleId="Heading2">
    <w:name w:val="Heading 2"/>
    <w:basedOn w:val="Normal"/>
    <w:next w:val="Normal"/>
    <w:qFormat/>
    <w:pPr>
      <w:spacing w:before="320" w:after="140"/>
      <w:outlineLvl w:val="1"/>
    </w:pPr>
    <w:rPr>
      <w:rFonts w:ascii="Arial" w:cs="Arial" w:eastAsia="Arial" w:hAnsi="Arial"/>
      <w:b/>
      <w:bCs/>
      <w:color w:val="1A4B8C"/>
      <w:sz w:val="32"/>
      <w:szCs w:val="32"/>
    </w:rPr>
  </w:style>
  <w:style w:type="paragraph" w:styleId="Heading3">
    <w:name w:val="Heading 3"/>
    <w:basedOn w:val="Normal"/>
    <w:next w:val="Normal"/>
    <w:qFormat/>
    <w:pPr>
      <w:spacing w:before="220" w:after="100"/>
      <w:outlineLvl w:val="2"/>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2026-03-28T07:44:50.940Z</dcterms:created>
  <dcterms:modified xsi:type="dcterms:W3CDTF">2026-03-28T07:44:50.940Z</dcterms:modified>
</cp:coreProperties>
</file>

<file path=docProps/custom.xml><?xml version="1.0" encoding="utf-8"?>
<Properties xmlns="http://schemas.openxmlformats.org/officeDocument/2006/custom-properties" xmlns:vt="http://schemas.openxmlformats.org/officeDocument/2006/docPropsVTypes"/>
</file>