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fyefojsq1g7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Andres Sanchez Ferrer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405"/>
        <w:gridCol w:w="1080"/>
        <w:gridCol w:w="945"/>
        <w:gridCol w:w="1050"/>
        <w:gridCol w:w="1080"/>
        <w:gridCol w:w="1065"/>
        <w:gridCol w:w="1290"/>
        <w:tblGridChange w:id="0">
          <w:tblGrid>
            <w:gridCol w:w="3405"/>
            <w:gridCol w:w="1080"/>
            <w:gridCol w:w="945"/>
            <w:gridCol w:w="1050"/>
            <w:gridCol w:w="1080"/>
            <w:gridCol w:w="1065"/>
            <w:gridCol w:w="129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e37jbq35apz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procesos utilizando buenas prácticas definidas por la industria.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integral los procesos de acuerdo a los requerimientos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organización de acuerdo a un diseño definido y escalable en el tiempo.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Construir el modelo arquitectónico de una solución sistémica que soporte los procesos de negocio de acuerdo los requerimientos de la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organización y estándares industria.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 datos de acuerdo a los requerimientos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tJYGhbngsdJwMkQhhsBUBYBBXA==">CgMxLjAyDmguZnllZm9qc3ExZzd0Mg5oLmUzN2picTM1YXB6eDgAciExcTd6VGdLSjRNODkzVWEzQndXeDhjRW5HdHBhbjZhQnM=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