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17365D"/>
          <w:sz w:val="50"/>
        </w:rPr>
        <w:t>RAPPORT INTÉGRAL D’ANALYSE</w:t>
      </w:r>
    </w:p>
    <w:p>
      <w:pPr>
        <w:jc w:val="center"/>
      </w:pPr>
      <w:r>
        <w:rPr>
          <w:b/>
          <w:color w:val="1F4E78"/>
          <w:sz w:val="40"/>
        </w:rPr>
        <w:t>Notebooks NLP, SetFit et Gradio</w:t>
      </w:r>
    </w:p>
    <w:p>
      <w:pPr>
        <w:spacing w:before="360"/>
        <w:jc w:val="center"/>
      </w:pPr>
      <w:r>
        <w:rPr>
          <w:sz w:val="26"/>
        </w:rPr>
        <w:t>Analyse des techniques, des résultats, de la qualité expérimentale</w:t>
        <w:br/>
        <w:t>et des pistes d’amélioration</w:t>
      </w:r>
    </w:p>
    <w:tbl>
      <w:tblPr>
        <w:tblStyle w:val="TableGrid"/>
        <w:tblW w:type="auto" w:w="0"/>
        <w:jc w:val="center"/>
        <w:tblLook w:firstColumn="1" w:firstRow="1" w:lastColumn="0" w:lastRow="0" w:noHBand="0" w:noVBand="1" w:val="04A0"/>
      </w:tblPr>
      <w:tblGrid>
        <w:gridCol w:w="4876"/>
        <w:gridCol w:w="4876"/>
      </w:tblGrid>
      <w:tr>
        <w:tc>
          <w:tcPr>
            <w:tcW w:type="dxa" w:w="4876"/>
            <w:shd w:fill="D9EAF7"/>
            <w:vAlign w:val="center"/>
          </w:tcPr>
          <w:p>
            <w:r>
              <w:rPr>
                <w:b/>
                <w:sz w:val="19"/>
              </w:rPr>
              <w:t>Fichiers étudiés</w:t>
            </w:r>
          </w:p>
        </w:tc>
        <w:tc>
          <w:tcPr>
            <w:tcW w:type="dxa" w:w="4876"/>
            <w:vAlign w:val="center"/>
          </w:tcPr>
          <w:p>
            <w:r>
              <w:rPr>
                <w:sz w:val="19"/>
              </w:rPr>
              <w:t>nlp.ipynb · SetFit.ipynb · Tutorial_Gradio_Victorien (1).ipynb</w:t>
            </w:r>
          </w:p>
        </w:tc>
      </w:tr>
      <w:tr>
        <w:tc>
          <w:tcPr>
            <w:tcW w:type="dxa" w:w="4876"/>
            <w:shd w:fill="D9EAF7"/>
            <w:vAlign w:val="center"/>
          </w:tcPr>
          <w:p>
            <w:r>
              <w:rPr>
                <w:b/>
                <w:sz w:val="19"/>
              </w:rPr>
              <w:t>Auteur du projet</w:t>
            </w:r>
          </w:p>
        </w:tc>
        <w:tc>
          <w:tcPr>
            <w:tcW w:type="dxa" w:w="4876"/>
            <w:vAlign w:val="center"/>
          </w:tcPr>
          <w:p>
            <w:r>
              <w:rPr>
                <w:sz w:val="19"/>
              </w:rPr>
              <w:t>Joachim Quérule</w:t>
            </w:r>
          </w:p>
        </w:tc>
      </w:tr>
      <w:tr>
        <w:tc>
          <w:tcPr>
            <w:tcW w:type="dxa" w:w="4876"/>
            <w:shd w:fill="D9EAF7"/>
            <w:vAlign w:val="center"/>
          </w:tcPr>
          <w:p>
            <w:r>
              <w:rPr>
                <w:b/>
                <w:sz w:val="19"/>
              </w:rPr>
              <w:t>Date du rapport</w:t>
            </w:r>
          </w:p>
        </w:tc>
        <w:tc>
          <w:tcPr>
            <w:tcW w:type="dxa" w:w="4876"/>
            <w:vAlign w:val="center"/>
          </w:tcPr>
          <w:p>
            <w:r>
              <w:rPr>
                <w:sz w:val="19"/>
              </w:rPr>
              <w:t>10 juin 2026</w:t>
            </w:r>
          </w:p>
        </w:tc>
      </w:tr>
      <w:tr>
        <w:tc>
          <w:tcPr>
            <w:tcW w:type="dxa" w:w="4876"/>
            <w:shd w:fill="D9EAF7"/>
            <w:vAlign w:val="center"/>
          </w:tcPr>
          <w:p>
            <w:r>
              <w:rPr>
                <w:b/>
                <w:sz w:val="19"/>
              </w:rPr>
              <w:t>Nature de l’audit</w:t>
            </w:r>
          </w:p>
        </w:tc>
        <w:tc>
          <w:tcPr>
            <w:tcW w:type="dxa" w:w="4876"/>
            <w:vAlign w:val="center"/>
          </w:tcPr>
          <w:p>
            <w:r>
              <w:rPr>
                <w:sz w:val="19"/>
              </w:rPr>
              <w:t>Lecture statique des cellules et des sorties enregistrées dans les notebooks</w:t>
            </w:r>
          </w:p>
        </w:tc>
      </w:tr>
    </w:tbl>
    <w:p>
      <w:pPr>
        <w:spacing w:before="1100"/>
        <w:jc w:val="center"/>
      </w:pPr>
      <w:r>
        <w:rPr>
          <w:i/>
          <w:color w:val="5B6573"/>
        </w:rPr>
        <w:t>Synthèse pédagogique et critique technique</w:t>
      </w:r>
    </w:p>
    <w:p>
      <w:r>
        <w:br w:type="page"/>
      </w:r>
    </w:p>
    <w:p>
      <w:pPr>
        <w:pStyle w:val="Heading1"/>
        <w:keepNext/>
      </w:pPr>
      <w:r>
        <w:t>Résumé exécutif</w:t>
      </w:r>
    </w:p>
    <w:p>
      <w:pPr>
        <w:spacing w:after="120" w:line="259" w:lineRule="auto"/>
      </w:pPr>
      <w:r>
        <w:t>Les trois notebooks forment une chaîne pédagogique cohérente : le premier compare plusieurs méthodes d’analyse de sentiment, le deuxième entraîne un classificateur de texte avec très peu d’exemples grâce à SetFit, et le troisième transforme des fonctions Python et des modèles NLP en applications interactives avec Gradio. Ensemble, ils couvrent trois dimensions essentielles d’un projet NLP : analyser, apprendre et déployer.</w:t>
      </w:r>
    </w:p>
    <w:p>
      <w:pPr>
        <w:spacing w:after="120" w:line="259" w:lineRule="auto"/>
      </w:pPr>
      <w:r>
        <w:t>Le notebook nlp.ipynb est le plus riche sur le plan expérimental. Il utilise un jeu de 1 000 avis Amazon équilibré entre 500 exemples positifs et 500 négatifs. Sur les sorties enregistrées, Flair obtient les meilleures performances avec 94,8 % d’exactitude, devant VADER à 75,8 % et TextBlob à 68,7 %. Le classificateur Naive Bayes de TextBlob atteint 63 %, mais il n’est évalué que sur les 100 premières lignes : sa comparaison directe avec les autres méthodes n’est donc pas rigoureuse.</w:t>
      </w:r>
    </w:p>
    <w:p>
      <w:pPr>
        <w:spacing w:after="120" w:line="259" w:lineRule="auto"/>
      </w:pPr>
      <w:r>
        <w:t>Le notebook SetFit.ipynb illustre l’apprentissage few-shot : seulement huit tweets équilibrés sont utilisés pour entraîner un modèle fondé sur sentence-transformers/paraphrase-mpnet-base-v2. L’évaluation enregistrée atteint 60,78 % d’exactitude et 59,10 % de F1 pondéré sur 51 exemples. Cette expérience démontre la faisabilité de SetFit avec peu de données, mais le résultat reste fragile en raison de la très petite taille de l’échantillon, de problèmes de lecture du CSV et de l’absence d’un jeu de test indépendant dans la version finale du pipeline.</w:t>
      </w:r>
    </w:p>
    <w:p>
      <w:pPr>
        <w:spacing w:after="120" w:line="259" w:lineRule="auto"/>
      </w:pPr>
      <w:r>
        <w:t>Le tutoriel Gradio montre progressivement comment rendre une fonction réutilisable, l’exposer dans une interface simple, puis construire une application à onglets comparant TextBlob, un modèle RoBERTa de sentiment et plusieurs modèles Transformers multilingues. La logique de callbacks, les exemples cliquables, la documentation intégrée et la gestion d’erreurs sont bien introduites. Des corrections restent toutefois nécessaires pour la compatibilité Gradio 6, la cohérence des intitulés de modèles, l’architecture des onglets et la consommation mémoire sur CPU.</w:t>
      </w:r>
    </w:p>
    <w:tbl>
      <w:tblPr>
        <w:tblStyle w:val="TableGrid"/>
        <w:tblW w:type="auto" w:w="0"/>
        <w:jc w:val="center"/>
        <w:tblLook w:firstColumn="1" w:firstRow="1" w:lastColumn="0" w:lastRow="0" w:noHBand="0" w:noVBand="1" w:val="04A0"/>
      </w:tblPr>
      <w:tblGrid>
        <w:gridCol w:w="9752"/>
      </w:tblGrid>
      <w:tr>
        <w:tc>
          <w:tcPr>
            <w:tcW w:type="dxa" w:w="9752"/>
            <w:shd w:fill="D9EAF7"/>
          </w:tcPr>
          <w:p>
            <w:pPr>
              <w:spacing w:after="40"/>
            </w:pPr>
            <w:r>
              <w:rPr>
                <w:b/>
              </w:rPr>
              <w:t xml:space="preserve">Conclusion générale — </w:t>
            </w:r>
            <w:r>
              <w:t>Le travail couvre correctement les principales familles de méthodes NLP — lexiques, règles, modèles pré-entraînés, apprentissage few-shot et prototypage d’interface — mais il doit être renforcé par une véritable analyse exploratoire des textes, une évaluation standardisée et une meilleure reproductibilité.</w:t>
            </w:r>
          </w:p>
        </w:tc>
      </w:tr>
    </w:tbl>
    <w:p>
      <w:pPr>
        <w:spacing w:after="20"/>
      </w:pPr>
    </w:p>
    <w:p>
      <w:pPr>
        <w:pStyle w:val="Heading2"/>
        <w:keepNext/>
      </w:pPr>
      <w:r>
        <w:t>Principaux résultats enregistrés</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tblHeader w:val="true"/>
        </w:trPr>
        <w:tc>
          <w:tcPr>
            <w:tcW w:type="dxa" w:w="1393"/>
            <w:shd w:fill="1F4E78"/>
            <w:vAlign w:val="center"/>
          </w:tcPr>
          <w:p>
            <w:pPr>
              <w:jc w:val="center"/>
            </w:pPr>
            <w:r>
              <w:rPr>
                <w:b/>
                <w:color w:val="FFFFFF"/>
                <w:sz w:val="15"/>
              </w:rPr>
              <w:t>Notebook / méthode</w:t>
            </w:r>
          </w:p>
        </w:tc>
        <w:tc>
          <w:tcPr>
            <w:tcW w:type="dxa" w:w="1393"/>
            <w:shd w:fill="1F4E78"/>
            <w:vAlign w:val="center"/>
          </w:tcPr>
          <w:p>
            <w:pPr>
              <w:jc w:val="center"/>
            </w:pPr>
            <w:r>
              <w:rPr>
                <w:b/>
                <w:color w:val="FFFFFF"/>
                <w:sz w:val="15"/>
              </w:rPr>
              <w:t>Données</w:t>
            </w:r>
          </w:p>
        </w:tc>
        <w:tc>
          <w:tcPr>
            <w:tcW w:type="dxa" w:w="1393"/>
            <w:shd w:fill="1F4E78"/>
            <w:vAlign w:val="center"/>
          </w:tcPr>
          <w:p>
            <w:pPr>
              <w:jc w:val="center"/>
            </w:pPr>
            <w:r>
              <w:rPr>
                <w:b/>
                <w:color w:val="FFFFFF"/>
                <w:sz w:val="15"/>
              </w:rPr>
              <w:t>Exactitude</w:t>
            </w:r>
          </w:p>
        </w:tc>
        <w:tc>
          <w:tcPr>
            <w:tcW w:type="dxa" w:w="1393"/>
            <w:shd w:fill="1F4E78"/>
            <w:vAlign w:val="center"/>
          </w:tcPr>
          <w:p>
            <w:pPr>
              <w:jc w:val="center"/>
            </w:pPr>
            <w:r>
              <w:rPr>
                <w:b/>
                <w:color w:val="FFFFFF"/>
                <w:sz w:val="15"/>
              </w:rPr>
              <w:t>Précision</w:t>
            </w:r>
          </w:p>
        </w:tc>
        <w:tc>
          <w:tcPr>
            <w:tcW w:type="dxa" w:w="1393"/>
            <w:shd w:fill="1F4E78"/>
            <w:vAlign w:val="center"/>
          </w:tcPr>
          <w:p>
            <w:pPr>
              <w:jc w:val="center"/>
            </w:pPr>
            <w:r>
              <w:rPr>
                <w:b/>
                <w:color w:val="FFFFFF"/>
                <w:sz w:val="15"/>
              </w:rPr>
              <w:t>Rappel</w:t>
            </w:r>
          </w:p>
        </w:tc>
        <w:tc>
          <w:tcPr>
            <w:tcW w:type="dxa" w:w="1393"/>
            <w:shd w:fill="1F4E78"/>
            <w:vAlign w:val="center"/>
          </w:tcPr>
          <w:p>
            <w:pPr>
              <w:jc w:val="center"/>
            </w:pPr>
            <w:r>
              <w:rPr>
                <w:b/>
                <w:color w:val="FFFFFF"/>
                <w:sz w:val="15"/>
              </w:rPr>
              <w:t>F1</w:t>
            </w:r>
          </w:p>
        </w:tc>
        <w:tc>
          <w:tcPr>
            <w:tcW w:type="dxa" w:w="1393"/>
            <w:shd w:fill="1F4E78"/>
            <w:vAlign w:val="center"/>
          </w:tcPr>
          <w:p>
            <w:pPr>
              <w:jc w:val="center"/>
            </w:pPr>
            <w:r>
              <w:rPr>
                <w:b/>
                <w:color w:val="FFFFFF"/>
                <w:sz w:val="15"/>
              </w:rPr>
              <w:t>Observation</w:t>
            </w:r>
          </w:p>
        </w:tc>
      </w:tr>
      <w:tr>
        <w:tc>
          <w:tcPr>
            <w:tcW w:type="dxa" w:w="1701"/>
            <w:vAlign w:val="top"/>
          </w:tcPr>
          <w:p>
            <w:pPr>
              <w:spacing w:after="0"/>
            </w:pPr>
            <w:r>
              <w:rPr>
                <w:sz w:val="15"/>
              </w:rPr>
              <w:t>TextBlob (Pattern)</w:t>
            </w:r>
          </w:p>
        </w:tc>
        <w:tc>
          <w:tcPr>
            <w:tcW w:type="dxa" w:w="1417"/>
            <w:vAlign w:val="top"/>
          </w:tcPr>
          <w:p>
            <w:pPr>
              <w:spacing w:after="0"/>
            </w:pPr>
            <w:r>
              <w:rPr>
                <w:sz w:val="15"/>
              </w:rPr>
              <w:t>1 000 avis Amazon</w:t>
            </w:r>
          </w:p>
        </w:tc>
        <w:tc>
          <w:tcPr>
            <w:tcW w:type="dxa" w:w="964"/>
            <w:vAlign w:val="top"/>
          </w:tcPr>
          <w:p>
            <w:pPr>
              <w:spacing w:after="0"/>
            </w:pPr>
            <w:r>
              <w:rPr>
                <w:sz w:val="15"/>
              </w:rPr>
              <w:t>68,70 %</w:t>
            </w:r>
          </w:p>
        </w:tc>
        <w:tc>
          <w:tcPr>
            <w:tcW w:type="dxa" w:w="1247"/>
            <w:vAlign w:val="top"/>
          </w:tcPr>
          <w:p>
            <w:pPr>
              <w:spacing w:after="0"/>
            </w:pPr>
            <w:r>
              <w:rPr>
                <w:sz w:val="15"/>
              </w:rPr>
              <w:t>77,16 % macro</w:t>
            </w:r>
          </w:p>
        </w:tc>
        <w:tc>
          <w:tcPr>
            <w:tcW w:type="dxa" w:w="1191"/>
            <w:vAlign w:val="top"/>
          </w:tcPr>
          <w:p>
            <w:pPr>
              <w:spacing w:after="0"/>
            </w:pPr>
            <w:r>
              <w:rPr>
                <w:sz w:val="15"/>
              </w:rPr>
              <w:t>68,70 % macro</w:t>
            </w:r>
          </w:p>
        </w:tc>
        <w:tc>
          <w:tcPr>
            <w:tcW w:type="dxa" w:w="1077"/>
            <w:vAlign w:val="top"/>
          </w:tcPr>
          <w:p>
            <w:pPr>
              <w:spacing w:after="0"/>
            </w:pPr>
            <w:r>
              <w:rPr>
                <w:sz w:val="15"/>
              </w:rPr>
              <w:t>66,06 % macro</w:t>
            </w:r>
          </w:p>
        </w:tc>
        <w:tc>
          <w:tcPr>
            <w:tcW w:type="dxa" w:w="2438"/>
            <w:vAlign w:val="top"/>
          </w:tcPr>
          <w:p>
            <w:pPr>
              <w:spacing w:after="0"/>
            </w:pPr>
            <w:r>
              <w:rPr>
                <w:sz w:val="15"/>
              </w:rPr>
              <w:t>Les scores nuls sont classés positifs.</w:t>
            </w:r>
          </w:p>
        </w:tc>
      </w:tr>
      <w:tr>
        <w:tc>
          <w:tcPr>
            <w:tcW w:type="dxa" w:w="1701"/>
            <w:shd w:fill="EAF2F8"/>
            <w:vAlign w:val="top"/>
          </w:tcPr>
          <w:p>
            <w:pPr>
              <w:spacing w:after="0"/>
            </w:pPr>
            <w:r>
              <w:rPr>
                <w:sz w:val="15"/>
              </w:rPr>
              <w:t>TextBlob Naive Bayes</w:t>
            </w:r>
          </w:p>
        </w:tc>
        <w:tc>
          <w:tcPr>
            <w:tcW w:type="dxa" w:w="1417"/>
            <w:shd w:fill="EAF2F8"/>
            <w:vAlign w:val="top"/>
          </w:tcPr>
          <w:p>
            <w:pPr>
              <w:spacing w:after="0"/>
            </w:pPr>
            <w:r>
              <w:rPr>
                <w:sz w:val="15"/>
              </w:rPr>
              <w:t>100 premiers avis</w:t>
            </w:r>
          </w:p>
        </w:tc>
        <w:tc>
          <w:tcPr>
            <w:tcW w:type="dxa" w:w="964"/>
            <w:shd w:fill="EAF2F8"/>
            <w:vAlign w:val="top"/>
          </w:tcPr>
          <w:p>
            <w:pPr>
              <w:spacing w:after="0"/>
            </w:pPr>
            <w:r>
              <w:rPr>
                <w:sz w:val="15"/>
              </w:rPr>
              <w:t>63,00 %</w:t>
            </w:r>
          </w:p>
        </w:tc>
        <w:tc>
          <w:tcPr>
            <w:tcW w:type="dxa" w:w="1247"/>
            <w:shd w:fill="EAF2F8"/>
            <w:vAlign w:val="top"/>
          </w:tcPr>
          <w:p>
            <w:pPr>
              <w:spacing w:after="0"/>
            </w:pPr>
            <w:r>
              <w:rPr>
                <w:sz w:val="15"/>
              </w:rPr>
              <w:t>64,13 % macro</w:t>
            </w:r>
          </w:p>
        </w:tc>
        <w:tc>
          <w:tcPr>
            <w:tcW w:type="dxa" w:w="1191"/>
            <w:shd w:fill="EAF2F8"/>
            <w:vAlign w:val="top"/>
          </w:tcPr>
          <w:p>
            <w:pPr>
              <w:spacing w:after="0"/>
            </w:pPr>
            <w:r>
              <w:rPr>
                <w:sz w:val="15"/>
              </w:rPr>
              <w:t>62,69 % macro</w:t>
            </w:r>
          </w:p>
        </w:tc>
        <w:tc>
          <w:tcPr>
            <w:tcW w:type="dxa" w:w="1077"/>
            <w:shd w:fill="EAF2F8"/>
            <w:vAlign w:val="top"/>
          </w:tcPr>
          <w:p>
            <w:pPr>
              <w:spacing w:after="0"/>
            </w:pPr>
            <w:r>
              <w:rPr>
                <w:sz w:val="15"/>
              </w:rPr>
              <w:t>61,90 % macro</w:t>
            </w:r>
          </w:p>
        </w:tc>
        <w:tc>
          <w:tcPr>
            <w:tcW w:type="dxa" w:w="2438"/>
            <w:shd w:fill="EAF2F8"/>
            <w:vAlign w:val="top"/>
          </w:tcPr>
          <w:p>
            <w:pPr>
              <w:spacing w:after="0"/>
            </w:pPr>
            <w:r>
              <w:rPr>
                <w:sz w:val="15"/>
              </w:rPr>
              <w:t>Périmètre différent : comparaison non équitable.</w:t>
            </w:r>
          </w:p>
        </w:tc>
      </w:tr>
      <w:tr>
        <w:tc>
          <w:tcPr>
            <w:tcW w:type="dxa" w:w="1701"/>
            <w:vAlign w:val="top"/>
          </w:tcPr>
          <w:p>
            <w:pPr>
              <w:spacing w:after="0"/>
            </w:pPr>
            <w:r>
              <w:rPr>
                <w:sz w:val="15"/>
              </w:rPr>
              <w:t>VADER</w:t>
            </w:r>
          </w:p>
        </w:tc>
        <w:tc>
          <w:tcPr>
            <w:tcW w:type="dxa" w:w="1417"/>
            <w:vAlign w:val="top"/>
          </w:tcPr>
          <w:p>
            <w:pPr>
              <w:spacing w:after="0"/>
            </w:pPr>
            <w:r>
              <w:rPr>
                <w:sz w:val="15"/>
              </w:rPr>
              <w:t>1 000 avis Amazon</w:t>
            </w:r>
          </w:p>
        </w:tc>
        <w:tc>
          <w:tcPr>
            <w:tcW w:type="dxa" w:w="964"/>
            <w:vAlign w:val="top"/>
          </w:tcPr>
          <w:p>
            <w:pPr>
              <w:spacing w:after="0"/>
            </w:pPr>
            <w:r>
              <w:rPr>
                <w:sz w:val="15"/>
              </w:rPr>
              <w:t>75,80 %</w:t>
            </w:r>
          </w:p>
        </w:tc>
        <w:tc>
          <w:tcPr>
            <w:tcW w:type="dxa" w:w="1247"/>
            <w:vAlign w:val="top"/>
          </w:tcPr>
          <w:p>
            <w:pPr>
              <w:spacing w:after="0"/>
            </w:pPr>
            <w:r>
              <w:rPr>
                <w:sz w:val="15"/>
              </w:rPr>
              <w:t>81,59 % macro</w:t>
            </w:r>
          </w:p>
        </w:tc>
        <w:tc>
          <w:tcPr>
            <w:tcW w:type="dxa" w:w="1191"/>
            <w:vAlign w:val="top"/>
          </w:tcPr>
          <w:p>
            <w:pPr>
              <w:spacing w:after="0"/>
            </w:pPr>
            <w:r>
              <w:rPr>
                <w:sz w:val="15"/>
              </w:rPr>
              <w:t>75,80 % macro</w:t>
            </w:r>
          </w:p>
        </w:tc>
        <w:tc>
          <w:tcPr>
            <w:tcW w:type="dxa" w:w="1077"/>
            <w:vAlign w:val="top"/>
          </w:tcPr>
          <w:p>
            <w:pPr>
              <w:spacing w:after="0"/>
            </w:pPr>
            <w:r>
              <w:rPr>
                <w:sz w:val="15"/>
              </w:rPr>
              <w:t>74,64 % macro</w:t>
            </w:r>
          </w:p>
        </w:tc>
        <w:tc>
          <w:tcPr>
            <w:tcW w:type="dxa" w:w="2438"/>
            <w:vAlign w:val="top"/>
          </w:tcPr>
          <w:p>
            <w:pPr>
              <w:spacing w:after="0"/>
            </w:pPr>
            <w:r>
              <w:rPr>
                <w:sz w:val="15"/>
              </w:rPr>
              <w:t>Meilleur que TextBlob sur ce corpus.</w:t>
            </w:r>
          </w:p>
        </w:tc>
      </w:tr>
      <w:tr>
        <w:tc>
          <w:tcPr>
            <w:tcW w:type="dxa" w:w="1701"/>
            <w:shd w:fill="EAF2F8"/>
            <w:vAlign w:val="top"/>
          </w:tcPr>
          <w:p>
            <w:pPr>
              <w:spacing w:after="0"/>
            </w:pPr>
            <w:r>
              <w:rPr>
                <w:sz w:val="15"/>
              </w:rPr>
              <w:t>Flair en-sentiment</w:t>
            </w:r>
          </w:p>
        </w:tc>
        <w:tc>
          <w:tcPr>
            <w:tcW w:type="dxa" w:w="1417"/>
            <w:shd w:fill="EAF2F8"/>
            <w:vAlign w:val="top"/>
          </w:tcPr>
          <w:p>
            <w:pPr>
              <w:spacing w:after="0"/>
            </w:pPr>
            <w:r>
              <w:rPr>
                <w:sz w:val="15"/>
              </w:rPr>
              <w:t>1 000 avis Amazon</w:t>
            </w:r>
          </w:p>
        </w:tc>
        <w:tc>
          <w:tcPr>
            <w:tcW w:type="dxa" w:w="964"/>
            <w:shd w:fill="EAF2F8"/>
            <w:vAlign w:val="top"/>
          </w:tcPr>
          <w:p>
            <w:pPr>
              <w:spacing w:after="0"/>
            </w:pPr>
            <w:r>
              <w:rPr>
                <w:sz w:val="15"/>
              </w:rPr>
              <w:t>94,80 %</w:t>
            </w:r>
          </w:p>
        </w:tc>
        <w:tc>
          <w:tcPr>
            <w:tcW w:type="dxa" w:w="1247"/>
            <w:shd w:fill="EAF2F8"/>
            <w:vAlign w:val="top"/>
          </w:tcPr>
          <w:p>
            <w:pPr>
              <w:spacing w:after="0"/>
            </w:pPr>
            <w:r>
              <w:rPr>
                <w:sz w:val="15"/>
              </w:rPr>
              <w:t>94,80 % macro</w:t>
            </w:r>
          </w:p>
        </w:tc>
        <w:tc>
          <w:tcPr>
            <w:tcW w:type="dxa" w:w="1191"/>
            <w:shd w:fill="EAF2F8"/>
            <w:vAlign w:val="top"/>
          </w:tcPr>
          <w:p>
            <w:pPr>
              <w:spacing w:after="0"/>
            </w:pPr>
            <w:r>
              <w:rPr>
                <w:sz w:val="15"/>
              </w:rPr>
              <w:t>94,80 % macro</w:t>
            </w:r>
          </w:p>
        </w:tc>
        <w:tc>
          <w:tcPr>
            <w:tcW w:type="dxa" w:w="1077"/>
            <w:shd w:fill="EAF2F8"/>
            <w:vAlign w:val="top"/>
          </w:tcPr>
          <w:p>
            <w:pPr>
              <w:spacing w:after="0"/>
            </w:pPr>
            <w:r>
              <w:rPr>
                <w:sz w:val="15"/>
              </w:rPr>
              <w:t>94,80 % macro</w:t>
            </w:r>
          </w:p>
        </w:tc>
        <w:tc>
          <w:tcPr>
            <w:tcW w:type="dxa" w:w="2438"/>
            <w:shd w:fill="EAF2F8"/>
            <w:vAlign w:val="top"/>
          </w:tcPr>
          <w:p>
            <w:pPr>
              <w:spacing w:after="0"/>
            </w:pPr>
            <w:r>
              <w:rPr>
                <w:sz w:val="15"/>
              </w:rPr>
              <w:t>Meilleur résultat, mais inférence plus coûteuse.</w:t>
            </w:r>
          </w:p>
        </w:tc>
      </w:tr>
      <w:tr>
        <w:tc>
          <w:tcPr>
            <w:tcW w:type="dxa" w:w="1701"/>
            <w:vAlign w:val="top"/>
          </w:tcPr>
          <w:p>
            <w:pPr>
              <w:spacing w:after="0"/>
            </w:pPr>
            <w:r>
              <w:rPr>
                <w:sz w:val="15"/>
              </w:rPr>
              <w:t>SetFit MPNet</w:t>
            </w:r>
          </w:p>
        </w:tc>
        <w:tc>
          <w:tcPr>
            <w:tcW w:type="dxa" w:w="1417"/>
            <w:vAlign w:val="top"/>
          </w:tcPr>
          <w:p>
            <w:pPr>
              <w:spacing w:after="0"/>
            </w:pPr>
            <w:r>
              <w:rPr>
                <w:sz w:val="15"/>
              </w:rPr>
              <w:t>8 train / 51 éval</w:t>
            </w:r>
          </w:p>
        </w:tc>
        <w:tc>
          <w:tcPr>
            <w:tcW w:type="dxa" w:w="964"/>
            <w:vAlign w:val="top"/>
          </w:tcPr>
          <w:p>
            <w:pPr>
              <w:spacing w:after="0"/>
            </w:pPr>
            <w:r>
              <w:rPr>
                <w:sz w:val="15"/>
              </w:rPr>
              <w:t>60,78 %</w:t>
            </w:r>
          </w:p>
        </w:tc>
        <w:tc>
          <w:tcPr>
            <w:tcW w:type="dxa" w:w="1247"/>
            <w:vAlign w:val="top"/>
          </w:tcPr>
          <w:p>
            <w:pPr>
              <w:spacing w:after="0"/>
            </w:pPr>
            <w:r>
              <w:rPr>
                <w:sz w:val="15"/>
              </w:rPr>
              <w:t>64,97 % pondérée</w:t>
            </w:r>
          </w:p>
        </w:tc>
        <w:tc>
          <w:tcPr>
            <w:tcW w:type="dxa" w:w="1191"/>
            <w:vAlign w:val="top"/>
          </w:tcPr>
          <w:p>
            <w:pPr>
              <w:spacing w:after="0"/>
            </w:pPr>
            <w:r>
              <w:rPr>
                <w:sz w:val="15"/>
              </w:rPr>
              <w:t>60,78 % pondéré</w:t>
            </w:r>
          </w:p>
        </w:tc>
        <w:tc>
          <w:tcPr>
            <w:tcW w:type="dxa" w:w="1077"/>
            <w:vAlign w:val="top"/>
          </w:tcPr>
          <w:p>
            <w:pPr>
              <w:spacing w:after="0"/>
            </w:pPr>
            <w:r>
              <w:rPr>
                <w:sz w:val="15"/>
              </w:rPr>
              <w:t>59,10 % pondéré</w:t>
            </w:r>
          </w:p>
        </w:tc>
        <w:tc>
          <w:tcPr>
            <w:tcW w:type="dxa" w:w="2438"/>
            <w:vAlign w:val="top"/>
          </w:tcPr>
          <w:p>
            <w:pPr>
              <w:spacing w:after="0"/>
            </w:pPr>
            <w:r>
              <w:rPr>
                <w:sz w:val="15"/>
              </w:rPr>
              <w:t>Résultat très sensible au tirage des huit exemples.</w:t>
            </w:r>
          </w:p>
        </w:tc>
      </w:tr>
    </w:tbl>
    <w:p>
      <w:pPr>
        <w:spacing w:after="20"/>
      </w:pPr>
    </w:p>
    <w:p>
      <w:pPr>
        <w:pStyle w:val="Heading1"/>
        <w:keepNext/>
      </w:pPr>
      <w:r>
        <w:t>1. Périmètre et méthode d’examen</w:t>
      </w:r>
    </w:p>
    <w:p>
      <w:pPr>
        <w:spacing w:after="120" w:line="259" w:lineRule="auto"/>
      </w:pPr>
      <w:r>
        <w:t>L’audit porte sur l’état sauvegardé de trois notebooks Jupyter. Les cellules de code, les cellules Markdown, les sorties numériques, les avertissements et les erreurs d’installation ont été examinés. Les modèles lourds et les jeux de données locaux n’ont pas été réexécutés : l’analyse des performances s’appuie donc sur les sorties déjà enregistrées dans les fichiers.</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tblHeader w:val="true"/>
        </w:trPr>
        <w:tc>
          <w:tcPr>
            <w:tcW w:type="dxa" w:w="1950"/>
            <w:shd w:fill="1F4E78"/>
            <w:vAlign w:val="center"/>
          </w:tcPr>
          <w:p>
            <w:pPr>
              <w:jc w:val="center"/>
            </w:pPr>
            <w:r>
              <w:rPr>
                <w:b/>
                <w:color w:val="FFFFFF"/>
                <w:sz w:val="17"/>
              </w:rPr>
              <w:t>Fichier</w:t>
            </w:r>
          </w:p>
        </w:tc>
        <w:tc>
          <w:tcPr>
            <w:tcW w:type="dxa" w:w="1950"/>
            <w:shd w:fill="1F4E78"/>
            <w:vAlign w:val="center"/>
          </w:tcPr>
          <w:p>
            <w:pPr>
              <w:jc w:val="center"/>
            </w:pPr>
            <w:r>
              <w:rPr>
                <w:b/>
                <w:color w:val="FFFFFF"/>
                <w:sz w:val="17"/>
              </w:rPr>
              <w:t>Cellules</w:t>
            </w:r>
          </w:p>
        </w:tc>
        <w:tc>
          <w:tcPr>
            <w:tcW w:type="dxa" w:w="1950"/>
            <w:shd w:fill="1F4E78"/>
            <w:vAlign w:val="center"/>
          </w:tcPr>
          <w:p>
            <w:pPr>
              <w:jc w:val="center"/>
            </w:pPr>
            <w:r>
              <w:rPr>
                <w:b/>
                <w:color w:val="FFFFFF"/>
                <w:sz w:val="17"/>
              </w:rPr>
              <w:t>Code</w:t>
            </w:r>
          </w:p>
        </w:tc>
        <w:tc>
          <w:tcPr>
            <w:tcW w:type="dxa" w:w="1950"/>
            <w:shd w:fill="1F4E78"/>
            <w:vAlign w:val="center"/>
          </w:tcPr>
          <w:p>
            <w:pPr>
              <w:jc w:val="center"/>
            </w:pPr>
            <w:r>
              <w:rPr>
                <w:b/>
                <w:color w:val="FFFFFF"/>
                <w:sz w:val="17"/>
              </w:rPr>
              <w:t>Markdown</w:t>
            </w:r>
          </w:p>
        </w:tc>
        <w:tc>
          <w:tcPr>
            <w:tcW w:type="dxa" w:w="1950"/>
            <w:shd w:fill="1F4E78"/>
            <w:vAlign w:val="center"/>
          </w:tcPr>
          <w:p>
            <w:pPr>
              <w:jc w:val="center"/>
            </w:pPr>
            <w:r>
              <w:rPr>
                <w:b/>
                <w:color w:val="FFFFFF"/>
                <w:sz w:val="17"/>
              </w:rPr>
              <w:t>Rôle principal</w:t>
            </w:r>
          </w:p>
        </w:tc>
      </w:tr>
      <w:tr>
        <w:tc>
          <w:tcPr>
            <w:tcW w:type="dxa" w:w="2835"/>
            <w:vAlign w:val="top"/>
          </w:tcPr>
          <w:p>
            <w:pPr>
              <w:spacing w:after="0"/>
            </w:pPr>
            <w:r>
              <w:rPr>
                <w:sz w:val="17"/>
              </w:rPr>
              <w:t>nlp.ipynb</w:t>
            </w:r>
          </w:p>
        </w:tc>
        <w:tc>
          <w:tcPr>
            <w:tcW w:type="dxa" w:w="850"/>
            <w:vAlign w:val="top"/>
          </w:tcPr>
          <w:p>
            <w:pPr>
              <w:spacing w:after="0"/>
            </w:pPr>
            <w:r>
              <w:rPr>
                <w:sz w:val="17"/>
              </w:rPr>
              <w:t>89</w:t>
            </w:r>
          </w:p>
        </w:tc>
        <w:tc>
          <w:tcPr>
            <w:tcW w:type="dxa" w:w="850"/>
            <w:vAlign w:val="top"/>
          </w:tcPr>
          <w:p>
            <w:pPr>
              <w:spacing w:after="0"/>
            </w:pPr>
            <w:r>
              <w:rPr>
                <w:sz w:val="17"/>
              </w:rPr>
              <w:t>58</w:t>
            </w:r>
          </w:p>
        </w:tc>
        <w:tc>
          <w:tcPr>
            <w:tcW w:type="dxa" w:w="1020"/>
            <w:vAlign w:val="top"/>
          </w:tcPr>
          <w:p>
            <w:pPr>
              <w:spacing w:after="0"/>
            </w:pPr>
            <w:r>
              <w:rPr>
                <w:sz w:val="17"/>
              </w:rPr>
              <w:t>31</w:t>
            </w:r>
          </w:p>
        </w:tc>
        <w:tc>
          <w:tcPr>
            <w:tcW w:type="dxa" w:w="4535"/>
            <w:vAlign w:val="top"/>
          </w:tcPr>
          <w:p>
            <w:pPr>
              <w:spacing w:after="0"/>
            </w:pPr>
            <w:r>
              <w:rPr>
                <w:sz w:val="17"/>
              </w:rPr>
              <w:t>Comparer TextBlob, VADER et Flair sur l’analyse de sentiment.</w:t>
            </w:r>
          </w:p>
        </w:tc>
      </w:tr>
      <w:tr>
        <w:tc>
          <w:tcPr>
            <w:tcW w:type="dxa" w:w="2835"/>
            <w:shd w:fill="EAF2F8"/>
            <w:vAlign w:val="top"/>
          </w:tcPr>
          <w:p>
            <w:pPr>
              <w:spacing w:after="0"/>
            </w:pPr>
            <w:r>
              <w:rPr>
                <w:sz w:val="17"/>
              </w:rPr>
              <w:t>SetFit.ipynb</w:t>
            </w:r>
          </w:p>
        </w:tc>
        <w:tc>
          <w:tcPr>
            <w:tcW w:type="dxa" w:w="850"/>
            <w:shd w:fill="EAF2F8"/>
            <w:vAlign w:val="top"/>
          </w:tcPr>
          <w:p>
            <w:pPr>
              <w:spacing w:after="0"/>
            </w:pPr>
            <w:r>
              <w:rPr>
                <w:sz w:val="17"/>
              </w:rPr>
              <w:t>27</w:t>
            </w:r>
          </w:p>
        </w:tc>
        <w:tc>
          <w:tcPr>
            <w:tcW w:type="dxa" w:w="850"/>
            <w:shd w:fill="EAF2F8"/>
            <w:vAlign w:val="top"/>
          </w:tcPr>
          <w:p>
            <w:pPr>
              <w:spacing w:after="0"/>
            </w:pPr>
            <w:r>
              <w:rPr>
                <w:sz w:val="17"/>
              </w:rPr>
              <w:t>24</w:t>
            </w:r>
          </w:p>
        </w:tc>
        <w:tc>
          <w:tcPr>
            <w:tcW w:type="dxa" w:w="1020"/>
            <w:shd w:fill="EAF2F8"/>
            <w:vAlign w:val="top"/>
          </w:tcPr>
          <w:p>
            <w:pPr>
              <w:spacing w:after="0"/>
            </w:pPr>
            <w:r>
              <w:rPr>
                <w:sz w:val="17"/>
              </w:rPr>
              <w:t>3</w:t>
            </w:r>
          </w:p>
        </w:tc>
        <w:tc>
          <w:tcPr>
            <w:tcW w:type="dxa" w:w="4535"/>
            <w:shd w:fill="EAF2F8"/>
            <w:vAlign w:val="top"/>
          </w:tcPr>
          <w:p>
            <w:pPr>
              <w:spacing w:after="0"/>
            </w:pPr>
            <w:r>
              <w:rPr>
                <w:sz w:val="17"/>
              </w:rPr>
              <w:t>Préparer un corpus de tweets et entraîner un classificateur SetFit few-shot.</w:t>
            </w:r>
          </w:p>
        </w:tc>
      </w:tr>
      <w:tr>
        <w:tc>
          <w:tcPr>
            <w:tcW w:type="dxa" w:w="2835"/>
            <w:vAlign w:val="top"/>
          </w:tcPr>
          <w:p>
            <w:pPr>
              <w:spacing w:after="0"/>
            </w:pPr>
            <w:r>
              <w:rPr>
                <w:sz w:val="17"/>
              </w:rPr>
              <w:t>Tutorial_Gradio_Victorien (1).ipynb</w:t>
            </w:r>
          </w:p>
        </w:tc>
        <w:tc>
          <w:tcPr>
            <w:tcW w:type="dxa" w:w="850"/>
            <w:vAlign w:val="top"/>
          </w:tcPr>
          <w:p>
            <w:pPr>
              <w:spacing w:after="0"/>
            </w:pPr>
            <w:r>
              <w:rPr>
                <w:sz w:val="17"/>
              </w:rPr>
              <w:t>27</w:t>
            </w:r>
          </w:p>
        </w:tc>
        <w:tc>
          <w:tcPr>
            <w:tcW w:type="dxa" w:w="850"/>
            <w:vAlign w:val="top"/>
          </w:tcPr>
          <w:p>
            <w:pPr>
              <w:spacing w:after="0"/>
            </w:pPr>
            <w:r>
              <w:rPr>
                <w:sz w:val="17"/>
              </w:rPr>
              <w:t>14</w:t>
            </w:r>
          </w:p>
        </w:tc>
        <w:tc>
          <w:tcPr>
            <w:tcW w:type="dxa" w:w="1020"/>
            <w:vAlign w:val="top"/>
          </w:tcPr>
          <w:p>
            <w:pPr>
              <w:spacing w:after="0"/>
            </w:pPr>
            <w:r>
              <w:rPr>
                <w:sz w:val="17"/>
              </w:rPr>
              <w:t>13</w:t>
            </w:r>
          </w:p>
        </w:tc>
        <w:tc>
          <w:tcPr>
            <w:tcW w:type="dxa" w:w="4535"/>
            <w:vAlign w:val="top"/>
          </w:tcPr>
          <w:p>
            <w:pPr>
              <w:spacing w:after="0"/>
            </w:pPr>
            <w:r>
              <w:rPr>
                <w:sz w:val="17"/>
              </w:rPr>
              <w:t>Transformer des fonctions NLP en applications Gradio interactives.</w:t>
            </w:r>
          </w:p>
        </w:tc>
      </w:tr>
    </w:tbl>
    <w:p>
      <w:pPr>
        <w:spacing w:after="20"/>
      </w:pPr>
    </w:p>
    <w:p>
      <w:pPr>
        <w:spacing w:after="120" w:line="259" w:lineRule="auto"/>
      </w:pPr>
      <w:r>
        <w:t>La notion d’« analyse exploratoire » doit ici être comprise au sens large. Le premier notebook contient une comparaison expérimentale de modèles et une visualisation. Le notebook SetFit inspecte le fichier, les colonnes et les classes. En revanche, les analyses classiques de corpus — longueurs de textes, doublons, fréquence des mots, langues, valeurs manquantes, n-grammes, exemples atypiques — sont peu ou pas présentes.</w:t>
      </w:r>
    </w:p>
    <w:p>
      <w:pPr>
        <w:pStyle w:val="Heading1"/>
        <w:keepNext/>
      </w:pPr>
      <w:r>
        <w:t>2. Techniques NLP couvertes par les trois notebooks</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438"/>
            <w:shd w:fill="1F4E78"/>
            <w:vAlign w:val="center"/>
          </w:tcPr>
          <w:p>
            <w:pPr>
              <w:jc w:val="center"/>
            </w:pPr>
            <w:r>
              <w:rPr>
                <w:b/>
                <w:color w:val="FFFFFF"/>
                <w:sz w:val="16"/>
              </w:rPr>
              <w:t>Famille</w:t>
            </w:r>
          </w:p>
        </w:tc>
        <w:tc>
          <w:tcPr>
            <w:tcW w:type="dxa" w:w="2438"/>
            <w:shd w:fill="1F4E78"/>
            <w:vAlign w:val="center"/>
          </w:tcPr>
          <w:p>
            <w:pPr>
              <w:jc w:val="center"/>
            </w:pPr>
            <w:r>
              <w:rPr>
                <w:b/>
                <w:color w:val="FFFFFF"/>
                <w:sz w:val="16"/>
              </w:rPr>
              <w:t>Technique</w:t>
            </w:r>
          </w:p>
        </w:tc>
        <w:tc>
          <w:tcPr>
            <w:tcW w:type="dxa" w:w="2438"/>
            <w:shd w:fill="1F4E78"/>
            <w:vAlign w:val="center"/>
          </w:tcPr>
          <w:p>
            <w:pPr>
              <w:jc w:val="center"/>
            </w:pPr>
            <w:r>
              <w:rPr>
                <w:b/>
                <w:color w:val="FFFFFF"/>
                <w:sz w:val="16"/>
              </w:rPr>
              <w:t>Fichier</w:t>
            </w:r>
          </w:p>
        </w:tc>
        <w:tc>
          <w:tcPr>
            <w:tcW w:type="dxa" w:w="2438"/>
            <w:shd w:fill="1F4E78"/>
            <w:vAlign w:val="center"/>
          </w:tcPr>
          <w:p>
            <w:pPr>
              <w:jc w:val="center"/>
            </w:pPr>
            <w:r>
              <w:rPr>
                <w:b/>
                <w:color w:val="FFFFFF"/>
                <w:sz w:val="16"/>
              </w:rPr>
              <w:t>Finalité</w:t>
            </w:r>
          </w:p>
        </w:tc>
      </w:tr>
      <w:tr>
        <w:tc>
          <w:tcPr>
            <w:tcW w:type="dxa" w:w="1701"/>
            <w:vAlign w:val="top"/>
          </w:tcPr>
          <w:p>
            <w:pPr>
              <w:spacing w:after="0"/>
            </w:pPr>
            <w:r>
              <w:rPr>
                <w:sz w:val="16"/>
              </w:rPr>
              <w:t>Règles / motifs</w:t>
            </w:r>
          </w:p>
        </w:tc>
        <w:tc>
          <w:tcPr>
            <w:tcW w:type="dxa" w:w="2268"/>
            <w:vAlign w:val="top"/>
          </w:tcPr>
          <w:p>
            <w:pPr>
              <w:spacing w:after="0"/>
            </w:pPr>
            <w:r>
              <w:rPr>
                <w:sz w:val="16"/>
              </w:rPr>
              <w:t>Expressions régulières</w:t>
            </w:r>
          </w:p>
        </w:tc>
        <w:tc>
          <w:tcPr>
            <w:tcW w:type="dxa" w:w="1474"/>
            <w:vAlign w:val="top"/>
          </w:tcPr>
          <w:p>
            <w:pPr>
              <w:spacing w:after="0"/>
            </w:pPr>
            <w:r>
              <w:rPr>
                <w:sz w:val="16"/>
              </w:rPr>
              <w:t>Tutoriel Gradio</w:t>
            </w:r>
          </w:p>
        </w:tc>
        <w:tc>
          <w:tcPr>
            <w:tcW w:type="dxa" w:w="3969"/>
            <w:vAlign w:val="top"/>
          </w:tcPr>
          <w:p>
            <w:pPr>
              <w:spacing w:after="0"/>
            </w:pPr>
            <w:r>
              <w:rPr>
                <w:sz w:val="16"/>
              </w:rPr>
              <w:t>Extraire des adresses électroniques dans un texte.</w:t>
            </w:r>
          </w:p>
        </w:tc>
      </w:tr>
      <w:tr>
        <w:tc>
          <w:tcPr>
            <w:tcW w:type="dxa" w:w="1701"/>
            <w:shd w:fill="EAF2F8"/>
            <w:vAlign w:val="top"/>
          </w:tcPr>
          <w:p>
            <w:pPr>
              <w:spacing w:after="0"/>
            </w:pPr>
            <w:r>
              <w:rPr>
                <w:sz w:val="16"/>
              </w:rPr>
              <w:t>Lexique</w:t>
            </w:r>
          </w:p>
        </w:tc>
        <w:tc>
          <w:tcPr>
            <w:tcW w:type="dxa" w:w="2268"/>
            <w:shd w:fill="EAF2F8"/>
            <w:vAlign w:val="top"/>
          </w:tcPr>
          <w:p>
            <w:pPr>
              <w:spacing w:after="0"/>
            </w:pPr>
            <w:r>
              <w:rPr>
                <w:sz w:val="16"/>
              </w:rPr>
              <w:t>TextBlob Pattern Analyzer</w:t>
            </w:r>
          </w:p>
        </w:tc>
        <w:tc>
          <w:tcPr>
            <w:tcW w:type="dxa" w:w="1474"/>
            <w:shd w:fill="EAF2F8"/>
            <w:vAlign w:val="top"/>
          </w:tcPr>
          <w:p>
            <w:pPr>
              <w:spacing w:after="0"/>
            </w:pPr>
            <w:r>
              <w:rPr>
                <w:sz w:val="16"/>
              </w:rPr>
              <w:t>nlp + Gradio</w:t>
            </w:r>
          </w:p>
        </w:tc>
        <w:tc>
          <w:tcPr>
            <w:tcW w:type="dxa" w:w="3969"/>
            <w:shd w:fill="EAF2F8"/>
            <w:vAlign w:val="top"/>
          </w:tcPr>
          <w:p>
            <w:pPr>
              <w:spacing w:after="0"/>
            </w:pPr>
            <w:r>
              <w:rPr>
                <w:sz w:val="16"/>
              </w:rPr>
              <w:t>Mesurer polarité et subjectivité.</w:t>
            </w:r>
          </w:p>
        </w:tc>
      </w:tr>
      <w:tr>
        <w:tc>
          <w:tcPr>
            <w:tcW w:type="dxa" w:w="1701"/>
            <w:vAlign w:val="top"/>
          </w:tcPr>
          <w:p>
            <w:pPr>
              <w:spacing w:after="0"/>
            </w:pPr>
            <w:r>
              <w:rPr>
                <w:sz w:val="16"/>
              </w:rPr>
              <w:t>Probabiliste classique</w:t>
            </w:r>
          </w:p>
        </w:tc>
        <w:tc>
          <w:tcPr>
            <w:tcW w:type="dxa" w:w="2268"/>
            <w:vAlign w:val="top"/>
          </w:tcPr>
          <w:p>
            <w:pPr>
              <w:spacing w:after="0"/>
            </w:pPr>
            <w:r>
              <w:rPr>
                <w:sz w:val="16"/>
              </w:rPr>
              <w:t>TextBlob NaiveBayesAnalyzer</w:t>
            </w:r>
          </w:p>
        </w:tc>
        <w:tc>
          <w:tcPr>
            <w:tcW w:type="dxa" w:w="1474"/>
            <w:vAlign w:val="top"/>
          </w:tcPr>
          <w:p>
            <w:pPr>
              <w:spacing w:after="0"/>
            </w:pPr>
            <w:r>
              <w:rPr>
                <w:sz w:val="16"/>
              </w:rPr>
              <w:t>nlp</w:t>
            </w:r>
          </w:p>
        </w:tc>
        <w:tc>
          <w:tcPr>
            <w:tcW w:type="dxa" w:w="3969"/>
            <w:vAlign w:val="top"/>
          </w:tcPr>
          <w:p>
            <w:pPr>
              <w:spacing w:after="0"/>
            </w:pPr>
            <w:r>
              <w:rPr>
                <w:sz w:val="16"/>
              </w:rPr>
              <w:t>Classer un texte en positif ou négatif avec probabilités.</w:t>
            </w:r>
          </w:p>
        </w:tc>
      </w:tr>
      <w:tr>
        <w:tc>
          <w:tcPr>
            <w:tcW w:type="dxa" w:w="1701"/>
            <w:shd w:fill="EAF2F8"/>
            <w:vAlign w:val="top"/>
          </w:tcPr>
          <w:p>
            <w:pPr>
              <w:spacing w:after="0"/>
            </w:pPr>
            <w:r>
              <w:rPr>
                <w:sz w:val="16"/>
              </w:rPr>
              <w:t>Lexique + heuristiques</w:t>
            </w:r>
          </w:p>
        </w:tc>
        <w:tc>
          <w:tcPr>
            <w:tcW w:type="dxa" w:w="2268"/>
            <w:shd w:fill="EAF2F8"/>
            <w:vAlign w:val="top"/>
          </w:tcPr>
          <w:p>
            <w:pPr>
              <w:spacing w:after="0"/>
            </w:pPr>
            <w:r>
              <w:rPr>
                <w:sz w:val="16"/>
              </w:rPr>
              <w:t>VADER</w:t>
            </w:r>
          </w:p>
        </w:tc>
        <w:tc>
          <w:tcPr>
            <w:tcW w:type="dxa" w:w="1474"/>
            <w:shd w:fill="EAF2F8"/>
            <w:vAlign w:val="top"/>
          </w:tcPr>
          <w:p>
            <w:pPr>
              <w:spacing w:after="0"/>
            </w:pPr>
            <w:r>
              <w:rPr>
                <w:sz w:val="16"/>
              </w:rPr>
              <w:t>nlp</w:t>
            </w:r>
          </w:p>
        </w:tc>
        <w:tc>
          <w:tcPr>
            <w:tcW w:type="dxa" w:w="3969"/>
            <w:shd w:fill="EAF2F8"/>
            <w:vAlign w:val="top"/>
          </w:tcPr>
          <w:p>
            <w:pPr>
              <w:spacing w:after="0"/>
            </w:pPr>
            <w:r>
              <w:rPr>
                <w:sz w:val="16"/>
              </w:rPr>
              <w:t>Prendre en compte négation, intensité, ponctuation, argot et émoticônes.</w:t>
            </w:r>
          </w:p>
        </w:tc>
      </w:tr>
      <w:tr>
        <w:tc>
          <w:tcPr>
            <w:tcW w:type="dxa" w:w="1701"/>
            <w:vAlign w:val="top"/>
          </w:tcPr>
          <w:p>
            <w:pPr>
              <w:spacing w:after="0"/>
            </w:pPr>
            <w:r>
              <w:rPr>
                <w:sz w:val="16"/>
              </w:rPr>
              <w:t>Deep learning pré-entraîné</w:t>
            </w:r>
          </w:p>
        </w:tc>
        <w:tc>
          <w:tcPr>
            <w:tcW w:type="dxa" w:w="2268"/>
            <w:vAlign w:val="top"/>
          </w:tcPr>
          <w:p>
            <w:pPr>
              <w:spacing w:after="0"/>
            </w:pPr>
            <w:r>
              <w:rPr>
                <w:sz w:val="16"/>
              </w:rPr>
              <w:t>Flair en-sentiment</w:t>
            </w:r>
          </w:p>
        </w:tc>
        <w:tc>
          <w:tcPr>
            <w:tcW w:type="dxa" w:w="1474"/>
            <w:vAlign w:val="top"/>
          </w:tcPr>
          <w:p>
            <w:pPr>
              <w:spacing w:after="0"/>
            </w:pPr>
            <w:r>
              <w:rPr>
                <w:sz w:val="16"/>
              </w:rPr>
              <w:t>nlp</w:t>
            </w:r>
          </w:p>
        </w:tc>
        <w:tc>
          <w:tcPr>
            <w:tcW w:type="dxa" w:w="3969"/>
            <w:vAlign w:val="top"/>
          </w:tcPr>
          <w:p>
            <w:pPr>
              <w:spacing w:after="0"/>
            </w:pPr>
            <w:r>
              <w:rPr>
                <w:sz w:val="16"/>
              </w:rPr>
              <w:t>Prédire un label binaire et un score de confiance.</w:t>
            </w:r>
          </w:p>
        </w:tc>
      </w:tr>
      <w:tr>
        <w:tc>
          <w:tcPr>
            <w:tcW w:type="dxa" w:w="1701"/>
            <w:shd w:fill="EAF2F8"/>
            <w:vAlign w:val="top"/>
          </w:tcPr>
          <w:p>
            <w:pPr>
              <w:spacing w:after="0"/>
            </w:pPr>
            <w:r>
              <w:rPr>
                <w:sz w:val="16"/>
              </w:rPr>
              <w:t>Sentence Transformers / few-shot</w:t>
            </w:r>
          </w:p>
        </w:tc>
        <w:tc>
          <w:tcPr>
            <w:tcW w:type="dxa" w:w="2268"/>
            <w:shd w:fill="EAF2F8"/>
            <w:vAlign w:val="top"/>
          </w:tcPr>
          <w:p>
            <w:pPr>
              <w:spacing w:after="0"/>
            </w:pPr>
            <w:r>
              <w:rPr>
                <w:sz w:val="16"/>
              </w:rPr>
              <w:t>SetFit + MPNet</w:t>
            </w:r>
          </w:p>
        </w:tc>
        <w:tc>
          <w:tcPr>
            <w:tcW w:type="dxa" w:w="1474"/>
            <w:shd w:fill="EAF2F8"/>
            <w:vAlign w:val="top"/>
          </w:tcPr>
          <w:p>
            <w:pPr>
              <w:spacing w:after="0"/>
            </w:pPr>
            <w:r>
              <w:rPr>
                <w:sz w:val="16"/>
              </w:rPr>
              <w:t>SetFit</w:t>
            </w:r>
          </w:p>
        </w:tc>
        <w:tc>
          <w:tcPr>
            <w:tcW w:type="dxa" w:w="3969"/>
            <w:shd w:fill="EAF2F8"/>
            <w:vAlign w:val="top"/>
          </w:tcPr>
          <w:p>
            <w:pPr>
              <w:spacing w:after="0"/>
            </w:pPr>
            <w:r>
              <w:rPr>
                <w:sz w:val="16"/>
              </w:rPr>
              <w:t>Adapter rapidement un modèle à une tâche binaire avec huit exemples.</w:t>
            </w:r>
          </w:p>
        </w:tc>
      </w:tr>
      <w:tr>
        <w:tc>
          <w:tcPr>
            <w:tcW w:type="dxa" w:w="1701"/>
            <w:vAlign w:val="top"/>
          </w:tcPr>
          <w:p>
            <w:pPr>
              <w:spacing w:after="0"/>
            </w:pPr>
            <w:r>
              <w:rPr>
                <w:sz w:val="16"/>
              </w:rPr>
              <w:t>Transformers via pipeline</w:t>
            </w:r>
          </w:p>
        </w:tc>
        <w:tc>
          <w:tcPr>
            <w:tcW w:type="dxa" w:w="2268"/>
            <w:vAlign w:val="top"/>
          </w:tcPr>
          <w:p>
            <w:pPr>
              <w:spacing w:after="0"/>
            </w:pPr>
            <w:r>
              <w:rPr>
                <w:sz w:val="16"/>
              </w:rPr>
              <w:t>RoBERTa, BERT, XLM-R</w:t>
            </w:r>
          </w:p>
        </w:tc>
        <w:tc>
          <w:tcPr>
            <w:tcW w:type="dxa" w:w="1474"/>
            <w:vAlign w:val="top"/>
          </w:tcPr>
          <w:p>
            <w:pPr>
              <w:spacing w:after="0"/>
            </w:pPr>
            <w:r>
              <w:rPr>
                <w:sz w:val="16"/>
              </w:rPr>
              <w:t>Gradio</w:t>
            </w:r>
          </w:p>
        </w:tc>
        <w:tc>
          <w:tcPr>
            <w:tcW w:type="dxa" w:w="3969"/>
            <w:vAlign w:val="top"/>
          </w:tcPr>
          <w:p>
            <w:pPr>
              <w:spacing w:after="0"/>
            </w:pPr>
            <w:r>
              <w:rPr>
                <w:sz w:val="16"/>
              </w:rPr>
              <w:t>Comparer sentiment binaire, étoiles et émotions multilingues.</w:t>
            </w:r>
          </w:p>
        </w:tc>
      </w:tr>
      <w:tr>
        <w:tc>
          <w:tcPr>
            <w:tcW w:type="dxa" w:w="1701"/>
            <w:shd w:fill="EAF2F8"/>
            <w:vAlign w:val="top"/>
          </w:tcPr>
          <w:p>
            <w:pPr>
              <w:spacing w:after="0"/>
            </w:pPr>
            <w:r>
              <w:rPr>
                <w:sz w:val="16"/>
              </w:rPr>
              <w:t>Déploiement de prototype</w:t>
            </w:r>
          </w:p>
        </w:tc>
        <w:tc>
          <w:tcPr>
            <w:tcW w:type="dxa" w:w="2268"/>
            <w:shd w:fill="EAF2F8"/>
            <w:vAlign w:val="top"/>
          </w:tcPr>
          <w:p>
            <w:pPr>
              <w:spacing w:after="0"/>
            </w:pPr>
            <w:r>
              <w:rPr>
                <w:sz w:val="16"/>
              </w:rPr>
              <w:t>Gradio Interface et Blocks</w:t>
            </w:r>
          </w:p>
        </w:tc>
        <w:tc>
          <w:tcPr>
            <w:tcW w:type="dxa" w:w="1474"/>
            <w:shd w:fill="EAF2F8"/>
            <w:vAlign w:val="top"/>
          </w:tcPr>
          <w:p>
            <w:pPr>
              <w:spacing w:after="0"/>
            </w:pPr>
            <w:r>
              <w:rPr>
                <w:sz w:val="16"/>
              </w:rPr>
              <w:t>Gradio</w:t>
            </w:r>
          </w:p>
        </w:tc>
        <w:tc>
          <w:tcPr>
            <w:tcW w:type="dxa" w:w="3969"/>
            <w:shd w:fill="EAF2F8"/>
            <w:vAlign w:val="top"/>
          </w:tcPr>
          <w:p>
            <w:pPr>
              <w:spacing w:after="0"/>
            </w:pPr>
            <w:r>
              <w:rPr>
                <w:sz w:val="16"/>
              </w:rPr>
              <w:t>Créer une application locale interactive sans frontend séparé.</w:t>
            </w:r>
          </w:p>
        </w:tc>
      </w:tr>
    </w:tbl>
    <w:p>
      <w:pPr>
        <w:spacing w:after="20"/>
      </w:pPr>
    </w:p>
    <w:p>
      <w:pPr>
        <w:pStyle w:val="Heading1"/>
        <w:keepNext/>
      </w:pPr>
      <w:r>
        <w:t>3. Analyse détaillée de nlp.ipynb</w:t>
      </w:r>
    </w:p>
    <w:p>
      <w:pPr>
        <w:pStyle w:val="Heading2"/>
        <w:keepNext/>
      </w:pPr>
      <w:r>
        <w:t>3.1. Objectif et environnement</w:t>
      </w:r>
    </w:p>
    <w:p>
      <w:pPr>
        <w:spacing w:after="120" w:line="259" w:lineRule="auto"/>
      </w:pPr>
      <w:r>
        <w:t>Le notebook installe puis importe pandas, NumPy, TextBlob, VADER, Flair et les métriques de scikit-learn. Flair charge le modèle pré-entraîné en-sentiment. L’objectif est de comparer des approches simples fondées sur des lexiques à une approche neuronale pré-entraînée.</w:t>
      </w:r>
    </w:p>
    <w:p>
      <w:pPr>
        <w:pStyle w:val="ListBullet"/>
        <w:spacing w:after="60"/>
      </w:pPr>
      <w:r>
        <w:t>pandas et NumPy : manipulation des données ;</w:t>
      </w:r>
    </w:p>
    <w:p>
      <w:pPr>
        <w:pStyle w:val="ListBullet"/>
        <w:spacing w:after="60"/>
      </w:pPr>
      <w:r>
        <w:t>TextBlob : polarité, subjectivité et classification Naive Bayes ;</w:t>
      </w:r>
    </w:p>
    <w:p>
      <w:pPr>
        <w:pStyle w:val="ListBullet"/>
        <w:spacing w:after="60"/>
      </w:pPr>
      <w:r>
        <w:t>VADER : score composé et proportions négative, neutre et positive ;</w:t>
      </w:r>
    </w:p>
    <w:p>
      <w:pPr>
        <w:pStyle w:val="ListBullet"/>
        <w:spacing w:after="60"/>
      </w:pPr>
      <w:r>
        <w:t>Flair : tokenisation, prédiction binaire et confiance ;</w:t>
      </w:r>
    </w:p>
    <w:p>
      <w:pPr>
        <w:pStyle w:val="ListBullet"/>
        <w:spacing w:after="60"/>
      </w:pPr>
      <w:r>
        <w:t>scikit-learn : exactitude, précision, rappel et F1.</w:t>
      </w:r>
    </w:p>
    <w:p>
      <w:pPr>
        <w:spacing w:after="120" w:line="259" w:lineRule="auto"/>
      </w:pPr>
      <w:r>
        <w:t>Les installations sont exécutées directement dans le notebook. Cette pratique facilite un premier essai, mais elle nuit à la reproductibilité : les versions ne sont pas toutes figées, les cellules dépendent du noyau actif et un redémarrage peut être nécessaire après certaines mises à jour.</w:t>
      </w:r>
    </w:p>
    <w:p>
      <w:pPr>
        <w:pStyle w:val="Heading2"/>
        <w:keepNext/>
      </w:pPr>
      <w:r>
        <w:t>3.2. Jeu de données Amazon</w:t>
      </w:r>
    </w:p>
    <w:p>
      <w:pPr>
        <w:spacing w:after="120" w:line="259" w:lineRule="auto"/>
      </w:pPr>
      <w:r>
        <w:t>Le fichier data\amazon_cells_labelled.txt est lu avec une tabulation comme séparateur et deux colonnes nommées review et label. Les sorties montrent 1 000 observations, exactement réparties entre 500 avis négatifs (0) et 500 positifs (1). Cet équilibre est favorable à l’interprétation de l’exactitude et limite le risque qu’une classe majoritaire domine la métrique.</w:t>
      </w:r>
    </w:p>
    <w:tbl>
      <w:tblPr>
        <w:tblStyle w:val="TableGrid"/>
        <w:tblW w:type="auto" w:w="0"/>
        <w:jc w:val="center"/>
        <w:tblLook w:firstColumn="1" w:firstRow="1" w:lastColumn="0" w:lastRow="0" w:noHBand="0" w:noVBand="1" w:val="04A0"/>
      </w:tblPr>
      <w:tblGrid>
        <w:gridCol w:w="9752"/>
      </w:tblGrid>
      <w:tr>
        <w:tc>
          <w:tcPr>
            <w:tcW w:type="dxa" w:w="9752"/>
            <w:shd w:fill="FFF2CC"/>
          </w:tcPr>
          <w:p>
            <w:pPr>
              <w:spacing w:after="40"/>
            </w:pPr>
            <w:r>
              <w:rPr>
                <w:b/>
              </w:rPr>
              <w:t xml:space="preserve">Limite exploratoire — </w:t>
            </w:r>
            <w:r>
              <w:t>Le notebook affiche la tête du tableau et le nombre d’exemples par classe, mais ne contrôle pas les valeurs manquantes, les doublons, les longueurs de textes, la présence d’HTML, les langues ou les caractères atypiques.</w:t>
            </w:r>
          </w:p>
        </w:tc>
      </w:tr>
    </w:tbl>
    <w:p>
      <w:pPr>
        <w:spacing w:after="20"/>
      </w:pPr>
    </w:p>
    <w:p>
      <w:pPr>
        <w:pStyle w:val="Heading2"/>
        <w:keepNext/>
      </w:pPr>
      <w:r>
        <w:t>3.3. TextBlob : lexique et Naive Bayes</w:t>
      </w:r>
    </w:p>
    <w:p>
      <w:pPr>
        <w:spacing w:after="120" w:line="259" w:lineRule="auto"/>
      </w:pPr>
      <w:r>
        <w:t>TextBlob est utilisé selon deux approches. Le Pattern Analyzer, actif par défaut, renvoie une polarité comprise entre −1 et 1 et une subjectivité comprise entre 0 et 1. Le notebook illustre l’effet d’un intensificateur avec « very » et l’effet d’une négation avec « not ». Il teste également plusieurs mots isolés et émoticônes.</w:t>
      </w:r>
    </w:p>
    <w:p>
      <w:pPr>
        <w:spacing w:after="120" w:line="259" w:lineRule="auto"/>
      </w:pPr>
      <w:r>
        <w:t>Le NaiveBayesAnalyzer retourne une classe pos ou neg ainsi que les probabilités associées. Il est entraîné sur un corpus de critiques de films. Cette origine doit être rappelée : un modèle entraîné sur des critiques de films peut moins bien se transférer à des avis sur des téléphones ou à du texte français.</w:t>
      </w:r>
    </w:p>
    <w:p>
      <w:pPr>
        <w:pStyle w:val="ListBullet"/>
        <w:spacing w:after="60"/>
      </w:pPr>
      <w:r>
        <w:t>Exemple positif : « I love this product… » est classé positif avec une probabilité positive supérieure à la probabilité négative.</w:t>
      </w:r>
    </w:p>
    <w:p>
      <w:pPr>
        <w:pStyle w:val="ListBullet"/>
        <w:spacing w:after="60"/>
      </w:pPr>
      <w:r>
        <w:t>Négation simple : « This movie is not interesting » devient négatif.</w:t>
      </w:r>
    </w:p>
    <w:p>
      <w:pPr>
        <w:pStyle w:val="ListBullet"/>
        <w:spacing w:after="60"/>
      </w:pPr>
      <w:r>
        <w:t>Négation complexe : « I cannot say that… » montre les limites des méthodes lexicales et contextuelles simples.</w:t>
      </w:r>
    </w:p>
    <w:tbl>
      <w:tblPr>
        <w:tblStyle w:val="TableGrid"/>
        <w:tblW w:type="auto" w:w="0"/>
        <w:jc w:val="center"/>
        <w:tblLook w:firstColumn="1" w:firstRow="1" w:lastColumn="0" w:lastRow="0" w:noHBand="0" w:noVBand="1" w:val="04A0"/>
      </w:tblPr>
      <w:tblGrid>
        <w:gridCol w:w="9752"/>
      </w:tblGrid>
      <w:tr>
        <w:tc>
          <w:tcPr>
            <w:tcW w:type="dxa" w:w="9752"/>
            <w:shd w:fill="FCE4D6"/>
          </w:tcPr>
          <w:p>
            <w:pPr>
              <w:spacing w:after="40"/>
            </w:pPr>
            <w:r>
              <w:rPr>
                <w:b/>
              </w:rPr>
              <w:t xml:space="preserve">Erreur repérée — </w:t>
            </w:r>
            <w:r>
              <w:t>La cellule censée extraire la polarité de text3 réaffiche textBlob_sentiment2.polarity. Elle renvoie donc la valeur de la phrase précédente et fausse la démonstration de la négation complexe.</w:t>
            </w:r>
          </w:p>
        </w:tc>
      </w:tr>
    </w:tbl>
    <w:p>
      <w:pPr>
        <w:spacing w:after="20"/>
      </w:pPr>
    </w:p>
    <w:p>
      <w:pPr>
        <w:pStyle w:val="Heading2"/>
        <w:keepNext/>
      </w:pPr>
      <w:r>
        <w:t>3.4. VADER</w:t>
      </w:r>
    </w:p>
    <w:p>
      <w:pPr>
        <w:spacing w:after="120" w:line="259" w:lineRule="auto"/>
      </w:pPr>
      <w:r>
        <w:t>VADER produit quatre valeurs : neg, neu, pos et compound. Les trois premières décrivent la part du texte attribuée à chaque catégorie ; compound agrège l’intensité du sentiment sur une échelle de −1 à 1. Le notebook ouvre également le lexique VADER afin d’afficher des mots et leurs valences.</w:t>
      </w:r>
    </w:p>
    <w:p>
      <w:pPr>
        <w:spacing w:after="120" w:line="259" w:lineRule="auto"/>
      </w:pPr>
      <w:r>
        <w:t>La démonstration met en évidence le score nul d’un texte vide, la hausse du score positif avec l’adverbe « very » et la détection de la négation dans « not interesting ». Pour transformer le score en classe, le notebook applique la règle compound &gt;= 0 → positif. Cette convention classe donc les textes strictement neutres parmi les positifs, ce qui peut créer un biais.</w:t>
      </w:r>
    </w:p>
    <w:p>
      <w:pPr>
        <w:pStyle w:val="Heading2"/>
        <w:keepNext/>
      </w:pPr>
      <w:r>
        <w:t>3.5. Flair</w:t>
      </w:r>
    </w:p>
    <w:p>
      <w:pPr>
        <w:spacing w:after="120" w:line="259" w:lineRule="auto"/>
      </w:pPr>
      <w:r>
        <w:t>Flair représente chaque texte avec un objet Sentence, applique le modèle en-sentiment et renvoie POSITIVE ou NEGATIVE avec une confiance comprise entre 0 et 1. Les exemples enregistrés sont très confiants : environ 0,985 pour « interesting », 0,996 avec « very », 0,9999 pour « not interesting » et 0,705 pour la formulation ambiguë « I cannot say… ».</w:t>
      </w:r>
    </w:p>
    <w:p>
      <w:pPr>
        <w:spacing w:after="120" w:line="259" w:lineRule="auto"/>
      </w:pPr>
      <w:r>
        <w:t>La baisse de confiance sur la phrase ambiguë est intéressante : elle montre qu’un score de confiance peut refléter une difficulté linguistique. Toutefois, la confiance n’est pas une preuve de justesse et n’est pas évaluée comme une probabilité calibrée dans le notebook.</w:t>
      </w:r>
    </w:p>
    <w:p>
      <w:pPr>
        <w:pStyle w:val="Heading2"/>
        <w:keepNext/>
      </w:pPr>
      <w:r>
        <w:t>3.6. Évaluation quantitative</w:t>
      </w:r>
    </w:p>
    <w:p>
      <w:pPr>
        <w:spacing w:after="120" w:line="259" w:lineRule="auto"/>
      </w:pPr>
      <w:r>
        <w:t>Pour chaque avis, le notebook ajoute les scores et les prédictions au DataFrame, puis compare les prédictions aux labels réels. Les métriques sont calculées avec une moyenne macro, qui accorde le même poids aux deux classes.</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tblHeader w:val="true"/>
        </w:trPr>
        <w:tc>
          <w:tcPr>
            <w:tcW w:type="dxa" w:w="1625"/>
            <w:shd w:fill="1F4E78"/>
            <w:vAlign w:val="center"/>
          </w:tcPr>
          <w:p>
            <w:pPr>
              <w:jc w:val="center"/>
            </w:pPr>
            <w:r>
              <w:rPr>
                <w:b/>
                <w:color w:val="FFFFFF"/>
                <w:sz w:val="17"/>
              </w:rPr>
              <w:t>Méthode</w:t>
            </w:r>
          </w:p>
        </w:tc>
        <w:tc>
          <w:tcPr>
            <w:tcW w:type="dxa" w:w="1625"/>
            <w:shd w:fill="1F4E78"/>
            <w:vAlign w:val="center"/>
          </w:tcPr>
          <w:p>
            <w:pPr>
              <w:jc w:val="center"/>
            </w:pPr>
            <w:r>
              <w:rPr>
                <w:b/>
                <w:color w:val="FFFFFF"/>
                <w:sz w:val="17"/>
              </w:rPr>
              <w:t>Exactitude</w:t>
            </w:r>
          </w:p>
        </w:tc>
        <w:tc>
          <w:tcPr>
            <w:tcW w:type="dxa" w:w="1625"/>
            <w:shd w:fill="1F4E78"/>
            <w:vAlign w:val="center"/>
          </w:tcPr>
          <w:p>
            <w:pPr>
              <w:jc w:val="center"/>
            </w:pPr>
            <w:r>
              <w:rPr>
                <w:b/>
                <w:color w:val="FFFFFF"/>
                <w:sz w:val="17"/>
              </w:rPr>
              <w:t>Précision macro</w:t>
            </w:r>
          </w:p>
        </w:tc>
        <w:tc>
          <w:tcPr>
            <w:tcW w:type="dxa" w:w="1625"/>
            <w:shd w:fill="1F4E78"/>
            <w:vAlign w:val="center"/>
          </w:tcPr>
          <w:p>
            <w:pPr>
              <w:jc w:val="center"/>
            </w:pPr>
            <w:r>
              <w:rPr>
                <w:b/>
                <w:color w:val="FFFFFF"/>
                <w:sz w:val="17"/>
              </w:rPr>
              <w:t>Rappel macro</w:t>
            </w:r>
          </w:p>
        </w:tc>
        <w:tc>
          <w:tcPr>
            <w:tcW w:type="dxa" w:w="1625"/>
            <w:shd w:fill="1F4E78"/>
            <w:vAlign w:val="center"/>
          </w:tcPr>
          <w:p>
            <w:pPr>
              <w:jc w:val="center"/>
            </w:pPr>
            <w:r>
              <w:rPr>
                <w:b/>
                <w:color w:val="FFFFFF"/>
                <w:sz w:val="17"/>
              </w:rPr>
              <w:t>F1 macro</w:t>
            </w:r>
          </w:p>
        </w:tc>
        <w:tc>
          <w:tcPr>
            <w:tcW w:type="dxa" w:w="1625"/>
            <w:shd w:fill="1F4E78"/>
            <w:vAlign w:val="center"/>
          </w:tcPr>
          <w:p>
            <w:pPr>
              <w:jc w:val="center"/>
            </w:pPr>
            <w:r>
              <w:rPr>
                <w:b/>
                <w:color w:val="FFFFFF"/>
                <w:sz w:val="17"/>
              </w:rPr>
              <w:t>Périmètre</w:t>
            </w:r>
          </w:p>
        </w:tc>
      </w:tr>
      <w:tr>
        <w:tc>
          <w:tcPr>
            <w:tcW w:type="dxa" w:w="2381"/>
            <w:vAlign w:val="top"/>
          </w:tcPr>
          <w:p>
            <w:pPr>
              <w:spacing w:after="0"/>
            </w:pPr>
            <w:r>
              <w:rPr>
                <w:sz w:val="17"/>
              </w:rPr>
              <w:t>TextBlob Pattern</w:t>
            </w:r>
          </w:p>
        </w:tc>
        <w:tc>
          <w:tcPr>
            <w:tcW w:type="dxa" w:w="1247"/>
            <w:vAlign w:val="top"/>
          </w:tcPr>
          <w:p>
            <w:pPr>
              <w:spacing w:after="0"/>
            </w:pPr>
            <w:r>
              <w:rPr>
                <w:sz w:val="17"/>
              </w:rPr>
              <w:t>0,6870</w:t>
            </w:r>
          </w:p>
        </w:tc>
        <w:tc>
          <w:tcPr>
            <w:tcW w:type="dxa" w:w="1531"/>
            <w:vAlign w:val="top"/>
          </w:tcPr>
          <w:p>
            <w:pPr>
              <w:spacing w:after="0"/>
            </w:pPr>
            <w:r>
              <w:rPr>
                <w:sz w:val="17"/>
              </w:rPr>
              <w:t>0,7716</w:t>
            </w:r>
          </w:p>
        </w:tc>
        <w:tc>
          <w:tcPr>
            <w:tcW w:type="dxa" w:w="1361"/>
            <w:vAlign w:val="top"/>
          </w:tcPr>
          <w:p>
            <w:pPr>
              <w:spacing w:after="0"/>
            </w:pPr>
            <w:r>
              <w:rPr>
                <w:sz w:val="17"/>
              </w:rPr>
              <w:t>0,6870</w:t>
            </w:r>
          </w:p>
        </w:tc>
        <w:tc>
          <w:tcPr>
            <w:tcW w:type="dxa" w:w="1247"/>
            <w:vAlign w:val="top"/>
          </w:tcPr>
          <w:p>
            <w:pPr>
              <w:spacing w:after="0"/>
            </w:pPr>
            <w:r>
              <w:rPr>
                <w:sz w:val="17"/>
              </w:rPr>
              <w:t>0,6606</w:t>
            </w:r>
          </w:p>
        </w:tc>
        <w:tc>
          <w:tcPr>
            <w:tcW w:type="dxa" w:w="1701"/>
            <w:vAlign w:val="top"/>
          </w:tcPr>
          <w:p>
            <w:pPr>
              <w:spacing w:after="0"/>
            </w:pPr>
            <w:r>
              <w:rPr>
                <w:sz w:val="17"/>
              </w:rPr>
              <w:t>1 000 avis</w:t>
            </w:r>
          </w:p>
        </w:tc>
      </w:tr>
      <w:tr>
        <w:tc>
          <w:tcPr>
            <w:tcW w:type="dxa" w:w="2381"/>
            <w:shd w:fill="EAF2F8"/>
            <w:vAlign w:val="top"/>
          </w:tcPr>
          <w:p>
            <w:pPr>
              <w:spacing w:after="0"/>
            </w:pPr>
            <w:r>
              <w:rPr>
                <w:sz w:val="17"/>
              </w:rPr>
              <w:t>TextBlob Naive Bayes</w:t>
            </w:r>
          </w:p>
        </w:tc>
        <w:tc>
          <w:tcPr>
            <w:tcW w:type="dxa" w:w="1247"/>
            <w:shd w:fill="EAF2F8"/>
            <w:vAlign w:val="top"/>
          </w:tcPr>
          <w:p>
            <w:pPr>
              <w:spacing w:after="0"/>
            </w:pPr>
            <w:r>
              <w:rPr>
                <w:sz w:val="17"/>
              </w:rPr>
              <w:t>0,6300</w:t>
            </w:r>
          </w:p>
        </w:tc>
        <w:tc>
          <w:tcPr>
            <w:tcW w:type="dxa" w:w="1531"/>
            <w:shd w:fill="EAF2F8"/>
            <w:vAlign w:val="top"/>
          </w:tcPr>
          <w:p>
            <w:pPr>
              <w:spacing w:after="0"/>
            </w:pPr>
            <w:r>
              <w:rPr>
                <w:sz w:val="17"/>
              </w:rPr>
              <w:t>0,6413</w:t>
            </w:r>
          </w:p>
        </w:tc>
        <w:tc>
          <w:tcPr>
            <w:tcW w:type="dxa" w:w="1361"/>
            <w:shd w:fill="EAF2F8"/>
            <w:vAlign w:val="top"/>
          </w:tcPr>
          <w:p>
            <w:pPr>
              <w:spacing w:after="0"/>
            </w:pPr>
            <w:r>
              <w:rPr>
                <w:sz w:val="17"/>
              </w:rPr>
              <w:t>0,6269</w:t>
            </w:r>
          </w:p>
        </w:tc>
        <w:tc>
          <w:tcPr>
            <w:tcW w:type="dxa" w:w="1247"/>
            <w:shd w:fill="EAF2F8"/>
            <w:vAlign w:val="top"/>
          </w:tcPr>
          <w:p>
            <w:pPr>
              <w:spacing w:after="0"/>
            </w:pPr>
            <w:r>
              <w:rPr>
                <w:sz w:val="17"/>
              </w:rPr>
              <w:t>0,6190</w:t>
            </w:r>
          </w:p>
        </w:tc>
        <w:tc>
          <w:tcPr>
            <w:tcW w:type="dxa" w:w="1701"/>
            <w:shd w:fill="EAF2F8"/>
            <w:vAlign w:val="top"/>
          </w:tcPr>
          <w:p>
            <w:pPr>
              <w:spacing w:after="0"/>
            </w:pPr>
            <w:r>
              <w:rPr>
                <w:sz w:val="17"/>
              </w:rPr>
              <w:t>100 premiers avis</w:t>
            </w:r>
          </w:p>
        </w:tc>
      </w:tr>
      <w:tr>
        <w:tc>
          <w:tcPr>
            <w:tcW w:type="dxa" w:w="2381"/>
            <w:vAlign w:val="top"/>
          </w:tcPr>
          <w:p>
            <w:pPr>
              <w:spacing w:after="0"/>
            </w:pPr>
            <w:r>
              <w:rPr>
                <w:sz w:val="17"/>
              </w:rPr>
              <w:t>VADER</w:t>
            </w:r>
          </w:p>
        </w:tc>
        <w:tc>
          <w:tcPr>
            <w:tcW w:type="dxa" w:w="1247"/>
            <w:vAlign w:val="top"/>
          </w:tcPr>
          <w:p>
            <w:pPr>
              <w:spacing w:after="0"/>
            </w:pPr>
            <w:r>
              <w:rPr>
                <w:sz w:val="17"/>
              </w:rPr>
              <w:t>0,7580</w:t>
            </w:r>
          </w:p>
        </w:tc>
        <w:tc>
          <w:tcPr>
            <w:tcW w:type="dxa" w:w="1531"/>
            <w:vAlign w:val="top"/>
          </w:tcPr>
          <w:p>
            <w:pPr>
              <w:spacing w:after="0"/>
            </w:pPr>
            <w:r>
              <w:rPr>
                <w:sz w:val="17"/>
              </w:rPr>
              <w:t>0,8159</w:t>
            </w:r>
          </w:p>
        </w:tc>
        <w:tc>
          <w:tcPr>
            <w:tcW w:type="dxa" w:w="1361"/>
            <w:vAlign w:val="top"/>
          </w:tcPr>
          <w:p>
            <w:pPr>
              <w:spacing w:after="0"/>
            </w:pPr>
            <w:r>
              <w:rPr>
                <w:sz w:val="17"/>
              </w:rPr>
              <w:t>0,7580</w:t>
            </w:r>
          </w:p>
        </w:tc>
        <w:tc>
          <w:tcPr>
            <w:tcW w:type="dxa" w:w="1247"/>
            <w:vAlign w:val="top"/>
          </w:tcPr>
          <w:p>
            <w:pPr>
              <w:spacing w:after="0"/>
            </w:pPr>
            <w:r>
              <w:rPr>
                <w:sz w:val="17"/>
              </w:rPr>
              <w:t>0,7464</w:t>
            </w:r>
          </w:p>
        </w:tc>
        <w:tc>
          <w:tcPr>
            <w:tcW w:type="dxa" w:w="1701"/>
            <w:vAlign w:val="top"/>
          </w:tcPr>
          <w:p>
            <w:pPr>
              <w:spacing w:after="0"/>
            </w:pPr>
            <w:r>
              <w:rPr>
                <w:sz w:val="17"/>
              </w:rPr>
              <w:t>1 000 avis</w:t>
            </w:r>
          </w:p>
        </w:tc>
      </w:tr>
      <w:tr>
        <w:tc>
          <w:tcPr>
            <w:tcW w:type="dxa" w:w="2381"/>
            <w:shd w:fill="EAF2F8"/>
            <w:vAlign w:val="top"/>
          </w:tcPr>
          <w:p>
            <w:pPr>
              <w:spacing w:after="0"/>
            </w:pPr>
            <w:r>
              <w:rPr>
                <w:sz w:val="17"/>
              </w:rPr>
              <w:t>Flair</w:t>
            </w:r>
          </w:p>
        </w:tc>
        <w:tc>
          <w:tcPr>
            <w:tcW w:type="dxa" w:w="1247"/>
            <w:shd w:fill="EAF2F8"/>
            <w:vAlign w:val="top"/>
          </w:tcPr>
          <w:p>
            <w:pPr>
              <w:spacing w:after="0"/>
            </w:pPr>
            <w:r>
              <w:rPr>
                <w:sz w:val="17"/>
              </w:rPr>
              <w:t>0,9480</w:t>
            </w:r>
          </w:p>
        </w:tc>
        <w:tc>
          <w:tcPr>
            <w:tcW w:type="dxa" w:w="1531"/>
            <w:shd w:fill="EAF2F8"/>
            <w:vAlign w:val="top"/>
          </w:tcPr>
          <w:p>
            <w:pPr>
              <w:spacing w:after="0"/>
            </w:pPr>
            <w:r>
              <w:rPr>
                <w:sz w:val="17"/>
              </w:rPr>
              <w:t>0,9480</w:t>
            </w:r>
          </w:p>
        </w:tc>
        <w:tc>
          <w:tcPr>
            <w:tcW w:type="dxa" w:w="1361"/>
            <w:shd w:fill="EAF2F8"/>
            <w:vAlign w:val="top"/>
          </w:tcPr>
          <w:p>
            <w:pPr>
              <w:spacing w:after="0"/>
            </w:pPr>
            <w:r>
              <w:rPr>
                <w:sz w:val="17"/>
              </w:rPr>
              <w:t>0,9480</w:t>
            </w:r>
          </w:p>
        </w:tc>
        <w:tc>
          <w:tcPr>
            <w:tcW w:type="dxa" w:w="1247"/>
            <w:shd w:fill="EAF2F8"/>
            <w:vAlign w:val="top"/>
          </w:tcPr>
          <w:p>
            <w:pPr>
              <w:spacing w:after="0"/>
            </w:pPr>
            <w:r>
              <w:rPr>
                <w:sz w:val="17"/>
              </w:rPr>
              <w:t>0,9480</w:t>
            </w:r>
          </w:p>
        </w:tc>
        <w:tc>
          <w:tcPr>
            <w:tcW w:type="dxa" w:w="1701"/>
            <w:shd w:fill="EAF2F8"/>
            <w:vAlign w:val="top"/>
          </w:tcPr>
          <w:p>
            <w:pPr>
              <w:spacing w:after="0"/>
            </w:pPr>
            <w:r>
              <w:rPr>
                <w:sz w:val="17"/>
              </w:rPr>
              <w:t>1 000 avis</w:t>
            </w:r>
          </w:p>
        </w:tc>
      </w:tr>
    </w:tbl>
    <w:p>
      <w:pPr>
        <w:spacing w:after="20"/>
      </w:pPr>
    </w:p>
    <w:p>
      <w:pPr>
        <w:spacing w:after="120" w:line="259" w:lineRule="auto"/>
      </w:pPr>
      <w:r>
        <w:t>La meilleure méthode est Flair. Son gain sur VADER est de 19,0 points d’exactitude et son gain sur TextBlob de 26,1 points. VADER gagne 7,1 points sur TextBlob. Les textes Markdown du notebook mentionnent parfois 76,8 % pour VADER alors que la sortie enregistrée vaut 75,8 % : le rapport retient la valeur numérique de la cellule.</w:t>
      </w:r>
    </w:p>
    <w:p>
      <w:pPr>
        <w:spacing w:after="120" w:line="259" w:lineRule="auto"/>
      </w:pPr>
      <w:r>
        <w:t>La précision macro de TextBlob et de VADER est nettement supérieure à leur rappel macro. Ce profil suggère des performances inégales entre les classes ou une tendance à être plus précis sur une classe que sur l’autre. Une matrice de confusion et les métriques par classe seraient nécessaires pour identifier le comportement exact.</w:t>
      </w:r>
    </w:p>
    <w:p>
      <w:pPr>
        <w:jc w:val="center"/>
      </w:pPr>
      <w:r>
        <w:drawing>
          <wp:inline xmlns:a="http://schemas.openxmlformats.org/drawingml/2006/main" xmlns:pic="http://schemas.openxmlformats.org/drawingml/2006/picture">
            <wp:extent cx="6048000" cy="3257804"/>
            <wp:docPr id="1" name="Picture 1"/>
            <wp:cNvGraphicFramePr>
              <a:graphicFrameLocks noChangeAspect="1"/>
            </wp:cNvGraphicFramePr>
            <a:graphic>
              <a:graphicData uri="http://schemas.openxmlformats.org/drawingml/2006/picture">
                <pic:pic>
                  <pic:nvPicPr>
                    <pic:cNvPr id="0" name="comparaison_modeles_sentiment.png"/>
                    <pic:cNvPicPr/>
                  </pic:nvPicPr>
                  <pic:blipFill>
                    <a:blip r:embed="rId10"/>
                    <a:stretch>
                      <a:fillRect/>
                    </a:stretch>
                  </pic:blipFill>
                  <pic:spPr>
                    <a:xfrm>
                      <a:off x="0" y="0"/>
                      <a:ext cx="6048000" cy="3257804"/>
                    </a:xfrm>
                    <a:prstGeom prst="rect"/>
                  </pic:spPr>
                </pic:pic>
              </a:graphicData>
            </a:graphic>
          </wp:inline>
        </w:drawing>
      </w:r>
    </w:p>
    <w:p>
      <w:pPr>
        <w:jc w:val="center"/>
      </w:pPr>
      <w:r>
        <w:rPr>
          <w:i/>
          <w:sz w:val="17"/>
        </w:rPr>
        <w:t>Figure 1 — Comparaison des métriques sauvegardées dans nlp.ipynb. Le Naive Bayes est exclu du graphique car il n’est évalué que sur 100 observations.</w:t>
      </w:r>
    </w:p>
    <w:p>
      <w:pPr>
        <w:pStyle w:val="Heading2"/>
        <w:keepNext/>
      </w:pPr>
      <w:r>
        <w:t>3.7. Visualisation et synthèse</w:t>
      </w:r>
    </w:p>
    <w:p>
      <w:pPr>
        <w:spacing w:after="120" w:line="259" w:lineRule="auto"/>
      </w:pPr>
      <w:r>
        <w:t>Le graphique à barres groupées compare exactitude, précision, rappel et F1 pour TextBlob, VADER et Flair. Les valeurs sont annotées sur les barres, ce qui facilite la lecture. La conclusion du notebook distingue correctement les méthodes lexicales/règles des méthodes fondées sur un modèle et souligne le compromis vitesse–performance.</w:t>
      </w:r>
    </w:p>
    <w:p>
      <w:pPr>
        <w:spacing w:after="120" w:line="259" w:lineRule="auto"/>
      </w:pPr>
      <w:r>
        <w:t>La visualisation pourrait être complétée par des matrices de confusion, une distribution des scores, une analyse des erreurs et un temps moyen d’inférence. Sans ces éléments, la conclusion sur la vitesse de Flair reste qualitative.</w:t>
      </w:r>
    </w:p>
    <w:p>
      <w:pPr>
        <w:pStyle w:val="Heading2"/>
        <w:keepNext/>
      </w:pPr>
      <w:r>
        <w:t>3.8. Exercice knowledge.txt : problèmes de validité</w:t>
      </w:r>
    </w:p>
    <w:p>
      <w:pPr>
        <w:spacing w:after="120" w:line="259" w:lineRule="auto"/>
      </w:pPr>
      <w:r>
        <w:t>La dernière partie tente d’analyser un fichier de connaissances en français. Le fichier est lu avec le point comme séparateur et deux colonnes review et label. Les sorties montrent que la colonne label est entièrement vide. Il ne s’agit donc pas d’un corpus étiqueté utilisable pour calculer des performances.</w:t>
      </w:r>
    </w:p>
    <w:p>
      <w:pPr>
        <w:pStyle w:val="ListBullet"/>
        <w:spacing w:after="60"/>
      </w:pPr>
      <w:r>
        <w:t>TextBlob(text=r'data\knowledge.txt') analyse littéralement la chaîne représentant le chemin, pas le contenu du fichier.</w:t>
      </w:r>
    </w:p>
    <w:p>
      <w:pPr>
        <w:pStyle w:val="ListBullet"/>
        <w:spacing w:after="60"/>
      </w:pPr>
      <w:r>
        <w:t>Dans la boucle sur les mots, la variable word n’est jamais transmise à TextBlob ; le même chemin est analysé à chaque tour.</w:t>
      </w:r>
    </w:p>
    <w:p>
      <w:pPr>
        <w:pStyle w:val="ListBullet"/>
        <w:spacing w:after="60"/>
      </w:pPr>
      <w:r>
        <w:t>Le texte est français alors que les analyseurs employés sont principalement conçus pour l’anglais.</w:t>
      </w:r>
    </w:p>
    <w:p>
      <w:pPr>
        <w:pStyle w:val="ListBullet"/>
        <w:spacing w:after="60"/>
      </w:pPr>
      <w:r>
        <w:t>L’absence de labels rend impossible une validation supervisée.</w:t>
      </w:r>
    </w:p>
    <w:p>
      <w:pPr>
        <w:pStyle w:val="Code"/>
        <w:spacing w:before="80" w:after="140"/>
        <w:ind w:left="283" w:right="283"/>
        <w:shd w:fill="F3F4F6"/>
      </w:pPr>
      <w:r>
        <w:rPr>
          <w:rFonts w:ascii="Consolas" w:hAnsi="Consolas" w:eastAsia="Consolas"/>
          <w:sz w:val="16"/>
        </w:rPr>
        <w:t># Principe de correction</w:t>
        <w:br/>
      </w:r>
      <w:r>
        <w:rPr>
          <w:rFonts w:ascii="Consolas" w:hAnsi="Consolas" w:eastAsia="Consolas"/>
          <w:sz w:val="16"/>
        </w:rPr>
        <w:t>knowledge_review = pd.read_csv('data/knowledge.txt', header=None, names=['review'])</w:t>
        <w:br/>
      </w:r>
      <w:r>
        <w:rPr>
          <w:rFonts w:ascii="Consolas" w:hAnsi="Consolas" w:eastAsia="Consolas"/>
          <w:sz w:val="16"/>
        </w:rPr>
        <w:t>texte = knowledge_review.loc[0, 'review']</w:t>
        <w:br/>
      </w:r>
      <w:r>
        <w:rPr>
          <w:rFonts w:ascii="Consolas" w:hAnsi="Consolas" w:eastAsia="Consolas"/>
          <w:sz w:val="16"/>
        </w:rPr>
        <w:t>blob = TextBlob(texte)  # analyse le contenu, pas le chemin</w:t>
        <w:br/>
      </w:r>
      <w:r>
        <w:rPr>
          <w:rFonts w:ascii="Consolas" w:hAnsi="Consolas" w:eastAsia="Consolas"/>
          <w:sz w:val="16"/>
        </w:rPr>
        <w:br/>
      </w:r>
      <w:r>
        <w:rPr>
          <w:rFonts w:ascii="Consolas" w:hAnsi="Consolas" w:eastAsia="Consolas"/>
          <w:sz w:val="16"/>
        </w:rPr>
        <w:t>for word in words:</w:t>
        <w:br/>
      </w:r>
      <w:r>
        <w:rPr>
          <w:rFonts w:ascii="Consolas" w:hAnsi="Consolas" w:eastAsia="Consolas"/>
          <w:sz w:val="16"/>
        </w:rPr>
        <w:t xml:space="preserve">    print(word, TextBlob(word).sentiment)</w:t>
        <w:br/>
      </w:r>
    </w:p>
    <w:p>
      <w:pPr>
        <w:pStyle w:val="Heading1"/>
        <w:keepNext/>
      </w:pPr>
      <w:r>
        <w:t>4. Analyse détaillée de SetFit.ipynb</w:t>
      </w:r>
    </w:p>
    <w:p>
      <w:pPr>
        <w:pStyle w:val="Heading2"/>
        <w:keepNext/>
      </w:pPr>
      <w:r>
        <w:t>4.1. Objectif de classification</w:t>
      </w:r>
    </w:p>
    <w:p>
      <w:pPr>
        <w:spacing w:after="120" w:line="259" w:lineRule="auto"/>
      </w:pPr>
      <w:r>
        <w:t>Le notebook cherche à prédire si un tweet attribué à une célébrité est « réel » ou « non réel ». Les colonnes initiales sont name, tweet et is_real. La tâche devient une classification binaire : text contient le tweet et label vaut 1 pour TRUE, 0 pour FALSE.</w:t>
      </w:r>
    </w:p>
    <w:p>
      <w:pPr>
        <w:spacing w:after="120" w:line="259" w:lineRule="auto"/>
      </w:pPr>
      <w:r>
        <w:t>SetFit est particulièrement adapté aux situations few-shot. Il part d’un Sentence Transformer, crée des paires de textes pour un apprentissage contrastif, puis entraîne une tête de classification. Cette stratégie évite d’avoir besoin de milliers d’exemples annotés et ne requiert pas de boucle de tokenisation manuelle dans le notebook.</w:t>
      </w:r>
    </w:p>
    <w:p>
      <w:pPr>
        <w:pStyle w:val="Heading2"/>
        <w:keepNext/>
      </w:pPr>
      <w:r>
        <w:t>4.2. Installation et environnement</w:t>
      </w:r>
    </w:p>
    <w:p>
      <w:pPr>
        <w:spacing w:after="120" w:line="259" w:lineRule="auto"/>
      </w:pPr>
      <w:r>
        <w:t>Les premières cellules tentent d’installer setfit, sentence_transformers et une combinaison de versions de transformers et setfit. Les deux installations enregistrent une erreur OSError liée à un chemin Windows très long dans pkg_resources. Malgré cela, les imports suivants fonctionnent, probablement parce qu’une partie des bibliothèques était déjà disponible dans l’environnement virtuel.</w:t>
      </w:r>
    </w:p>
    <w:tbl>
      <w:tblPr>
        <w:tblStyle w:val="TableGrid"/>
        <w:tblW w:type="auto" w:w="0"/>
        <w:jc w:val="center"/>
        <w:tblLook w:firstColumn="1" w:firstRow="1" w:lastColumn="0" w:lastRow="0" w:noHBand="0" w:noVBand="1" w:val="04A0"/>
      </w:tblPr>
      <w:tblGrid>
        <w:gridCol w:w="9752"/>
      </w:tblGrid>
      <w:tr>
        <w:tc>
          <w:tcPr>
            <w:tcW w:type="dxa" w:w="9752"/>
            <w:shd w:fill="FFF2CC"/>
          </w:tcPr>
          <w:p>
            <w:pPr>
              <w:spacing w:after="40"/>
            </w:pPr>
            <w:r>
              <w:rPr>
                <w:b/>
              </w:rPr>
              <w:t xml:space="preserve">Risque de reproductibilité — </w:t>
            </w:r>
            <w:r>
              <w:t>Le notebook mélange Python du Microsoft Store, un environnement .venv, des chemins OneDrive Windows et un chemin de type Google Colab (/content). Une exécution propre sur une autre machine n’est pas garantie.</w:t>
            </w:r>
          </w:p>
        </w:tc>
      </w:tr>
    </w:tbl>
    <w:p>
      <w:pPr>
        <w:spacing w:after="20"/>
      </w:pPr>
    </w:p>
    <w:p>
      <w:pPr>
        <w:pStyle w:val="Heading2"/>
        <w:keepNext/>
      </w:pPr>
      <w:r>
        <w:t>4.3. Inspection et nettoyage du CSV</w:t>
      </w:r>
    </w:p>
    <w:p>
      <w:pPr>
        <w:spacing w:after="120" w:line="259" w:lineRule="auto"/>
      </w:pPr>
      <w:r>
        <w:t>Le notebook recherche les fichiers CSV, inspecte les lignes 30 à 35 et identifie des guillemets imbriqués et des virgules dans les noms ou les tweets. Il utilise ensuite pd.read_csv avec UTF-8-SIG, quotechar, moteur Python et on_bad_lines='skip'. Cette démarche est utile pour diagnostiquer un fichier mal formé.</w:t>
      </w:r>
    </w:p>
    <w:p>
      <w:pPr>
        <w:spacing w:after="120" w:line="259" w:lineRule="auto"/>
      </w:pPr>
      <w:r>
        <w:t>Le fichier chargé possède 106 lignes et trois colonnes. Après conversion des labels, seules 59 lignes restent exploitables : 31 positives et 28 négatives. Environ 47 lignes ne sont donc pas reconnues comme TRUE/FALSE ou sont perdues au cours de la lecture/nettoyage. Le notebook ne produit pas de rapport détaillé sur ces lignes rejetées.</w:t>
      </w:r>
    </w:p>
    <w:tbl>
      <w:tblPr>
        <w:tblStyle w:val="TableGrid"/>
        <w:tblW w:type="auto" w:w="0"/>
        <w:jc w:val="center"/>
        <w:tblLook w:firstColumn="1" w:firstRow="1" w:lastColumn="0" w:lastRow="0" w:noHBand="0" w:noVBand="1" w:val="04A0"/>
      </w:tblPr>
      <w:tblGrid>
        <w:gridCol w:w="9752"/>
      </w:tblGrid>
      <w:tr>
        <w:tc>
          <w:tcPr>
            <w:tcW w:type="dxa" w:w="9752"/>
            <w:shd w:fill="FCE4D6"/>
          </w:tcPr>
          <w:p>
            <w:pPr>
              <w:spacing w:after="40"/>
            </w:pPr>
            <w:r>
              <w:rPr>
                <w:b/>
              </w:rPr>
              <w:t xml:space="preserve">Point critique — </w:t>
            </w:r>
            <w:r>
              <w:t>on_bad_lines="skip" évite le plantage, mais supprime silencieusement des données. Pour un projet réel, les lignes ignorées doivent être enregistrées, examinées et corrigées.</w:t>
            </w:r>
          </w:p>
        </w:tc>
      </w:tr>
    </w:tbl>
    <w:p>
      <w:pPr>
        <w:spacing w:after="20"/>
      </w:pPr>
    </w:p>
    <w:p>
      <w:pPr>
        <w:pStyle w:val="Heading2"/>
        <w:keepNext/>
      </w:pPr>
      <w:r>
        <w:t>4.4. Échantillonnage few-shot</w:t>
      </w:r>
    </w:p>
    <w:p>
      <w:pPr>
        <w:spacing w:after="120" w:line="259" w:lineRule="auto"/>
      </w:pPr>
      <w:r>
        <w:t>La première version construit manuellement un entraînement équilibré de huit textes : quatre par classe. Elle crée ensuite des ensembles test et évaluation. Toutefois, train_df est réindexé avant df.drop(train_df.index) ; les indices 0 à 7 ne correspondent plus nécessairement aux lignes tirées. Cette erreur peut laisser des exemples d’entraînement dans les autres ensembles et supprimer les huit premières lignes à leur place.</w:t>
      </w:r>
    </w:p>
    <w:p>
      <w:pPr>
        <w:spacing w:after="120" w:line="259" w:lineRule="auto"/>
      </w:pPr>
      <w:r>
        <w:t>La version finale est plus correcte : train_test_split sélectionne huit lignes avec stratification et random_state=42, puis place les 51 autres lignes dans eval_df. Le jeu final comprend donc huit exemples d’entraînement et 51 d’évaluation, sans ensemble de test indépendant.</w:t>
      </w:r>
    </w:p>
    <w:p>
      <w:pPr>
        <w:pStyle w:val="Code"/>
        <w:spacing w:before="80" w:after="140"/>
        <w:ind w:left="283" w:right="283"/>
        <w:shd w:fill="F3F4F6"/>
      </w:pPr>
      <w:r>
        <w:rPr>
          <w:rFonts w:ascii="Consolas" w:hAnsi="Consolas" w:eastAsia="Consolas"/>
          <w:sz w:val="16"/>
        </w:rPr>
        <w:t>train_df, eval_df = train_test_split(</w:t>
        <w:br/>
      </w:r>
      <w:r>
        <w:rPr>
          <w:rFonts w:ascii="Consolas" w:hAnsi="Consolas" w:eastAsia="Consolas"/>
          <w:sz w:val="16"/>
        </w:rPr>
        <w:t xml:space="preserve">    data,</w:t>
        <w:br/>
      </w:r>
      <w:r>
        <w:rPr>
          <w:rFonts w:ascii="Consolas" w:hAnsi="Consolas" w:eastAsia="Consolas"/>
          <w:sz w:val="16"/>
        </w:rPr>
        <w:t xml:space="preserve">    train_size=8,</w:t>
        <w:br/>
      </w:r>
      <w:r>
        <w:rPr>
          <w:rFonts w:ascii="Consolas" w:hAnsi="Consolas" w:eastAsia="Consolas"/>
          <w:sz w:val="16"/>
        </w:rPr>
        <w:t xml:space="preserve">    random_state=42,</w:t>
        <w:br/>
      </w:r>
      <w:r>
        <w:rPr>
          <w:rFonts w:ascii="Consolas" w:hAnsi="Consolas" w:eastAsia="Consolas"/>
          <w:sz w:val="16"/>
        </w:rPr>
        <w:t xml:space="preserve">    stratify=data['label']</w:t>
        <w:br/>
      </w:r>
      <w:r>
        <w:rPr>
          <w:rFonts w:ascii="Consolas" w:hAnsi="Consolas" w:eastAsia="Consolas"/>
          <w:sz w:val="16"/>
        </w:rPr>
        <w:t>)</w:t>
        <w:br/>
      </w:r>
    </w:p>
    <w:p>
      <w:pPr>
        <w:pStyle w:val="Heading2"/>
        <w:keepNext/>
      </w:pPr>
      <w:r>
        <w:t>4.5. Modèle et entraînement</w:t>
      </w:r>
    </w:p>
    <w:p>
      <w:pPr>
        <w:spacing w:after="120" w:line="259" w:lineRule="auto"/>
      </w:pPr>
      <w:r>
        <w:t>Le modèle de base est sentence-transformers/paraphrase-mpnet-base-v2. Le message model_head.pkl not found indique que le dépôt fournit l’encodeur de phrases mais pas une tête déjà entraînée pour la tâche « tweet réel ou faux ». La tête est donc initialisée aléatoirement et doit être entraînée.</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fill="1F4E78"/>
            <w:vAlign w:val="center"/>
          </w:tcPr>
          <w:p>
            <w:pPr>
              <w:jc w:val="center"/>
            </w:pPr>
            <w:r>
              <w:rPr>
                <w:b/>
                <w:color w:val="FFFFFF"/>
                <w:sz w:val="17"/>
              </w:rPr>
              <w:t>Paramètre</w:t>
            </w:r>
          </w:p>
        </w:tc>
        <w:tc>
          <w:tcPr>
            <w:tcW w:type="dxa" w:w="3251"/>
            <w:shd w:fill="1F4E78"/>
            <w:vAlign w:val="center"/>
          </w:tcPr>
          <w:p>
            <w:pPr>
              <w:jc w:val="center"/>
            </w:pPr>
            <w:r>
              <w:rPr>
                <w:b/>
                <w:color w:val="FFFFFF"/>
                <w:sz w:val="17"/>
              </w:rPr>
              <w:t>Valeur</w:t>
            </w:r>
          </w:p>
        </w:tc>
        <w:tc>
          <w:tcPr>
            <w:tcW w:type="dxa" w:w="3251"/>
            <w:shd w:fill="1F4E78"/>
            <w:vAlign w:val="center"/>
          </w:tcPr>
          <w:p>
            <w:pPr>
              <w:jc w:val="center"/>
            </w:pPr>
            <w:r>
              <w:rPr>
                <w:b/>
                <w:color w:val="FFFFFF"/>
                <w:sz w:val="17"/>
              </w:rPr>
              <w:t>Interprétation</w:t>
            </w:r>
          </w:p>
        </w:tc>
      </w:tr>
      <w:tr>
        <w:tc>
          <w:tcPr>
            <w:tcW w:type="dxa" w:w="2268"/>
            <w:vAlign w:val="top"/>
          </w:tcPr>
          <w:p>
            <w:pPr>
              <w:spacing w:after="0"/>
            </w:pPr>
            <w:r>
              <w:rPr>
                <w:sz w:val="17"/>
              </w:rPr>
              <w:t>batch_size</w:t>
            </w:r>
          </w:p>
        </w:tc>
        <w:tc>
          <w:tcPr>
            <w:tcW w:type="dxa" w:w="1417"/>
            <w:vAlign w:val="top"/>
          </w:tcPr>
          <w:p>
            <w:pPr>
              <w:spacing w:after="0"/>
            </w:pPr>
            <w:r>
              <w:rPr>
                <w:sz w:val="17"/>
              </w:rPr>
              <w:t>16</w:t>
            </w:r>
          </w:p>
        </w:tc>
        <w:tc>
          <w:tcPr>
            <w:tcW w:type="dxa" w:w="5669"/>
            <w:vAlign w:val="top"/>
          </w:tcPr>
          <w:p>
            <w:pPr>
              <w:spacing w:after="0"/>
            </w:pPr>
            <w:r>
              <w:rPr>
                <w:sz w:val="17"/>
              </w:rPr>
              <w:t>Nombre d’éléments traités par lot. Avec huit exemples sources, SetFit génère cependant plusieurs paires contrastives.</w:t>
            </w:r>
          </w:p>
        </w:tc>
      </w:tr>
      <w:tr>
        <w:tc>
          <w:tcPr>
            <w:tcW w:type="dxa" w:w="2268"/>
            <w:shd w:fill="EAF2F8"/>
            <w:vAlign w:val="top"/>
          </w:tcPr>
          <w:p>
            <w:pPr>
              <w:spacing w:after="0"/>
            </w:pPr>
            <w:r>
              <w:rPr>
                <w:sz w:val="17"/>
              </w:rPr>
              <w:t>num_epochs</w:t>
            </w:r>
          </w:p>
        </w:tc>
        <w:tc>
          <w:tcPr>
            <w:tcW w:type="dxa" w:w="1417"/>
            <w:shd w:fill="EAF2F8"/>
            <w:vAlign w:val="top"/>
          </w:tcPr>
          <w:p>
            <w:pPr>
              <w:spacing w:after="0"/>
            </w:pPr>
            <w:r>
              <w:rPr>
                <w:sz w:val="17"/>
              </w:rPr>
              <w:t>2</w:t>
            </w:r>
          </w:p>
        </w:tc>
        <w:tc>
          <w:tcPr>
            <w:tcW w:type="dxa" w:w="5669"/>
            <w:shd w:fill="EAF2F8"/>
            <w:vAlign w:val="top"/>
          </w:tcPr>
          <w:p>
            <w:pPr>
              <w:spacing w:after="0"/>
            </w:pPr>
            <w:r>
              <w:rPr>
                <w:sz w:val="17"/>
              </w:rPr>
              <w:t>Deux passages d’entraînement.</w:t>
            </w:r>
          </w:p>
        </w:tc>
      </w:tr>
      <w:tr>
        <w:tc>
          <w:tcPr>
            <w:tcW w:type="dxa" w:w="2268"/>
            <w:vAlign w:val="top"/>
          </w:tcPr>
          <w:p>
            <w:pPr>
              <w:spacing w:after="0"/>
            </w:pPr>
            <w:r>
              <w:rPr>
                <w:sz w:val="17"/>
              </w:rPr>
              <w:t>eval_strategy</w:t>
            </w:r>
          </w:p>
        </w:tc>
        <w:tc>
          <w:tcPr>
            <w:tcW w:type="dxa" w:w="1417"/>
            <w:vAlign w:val="top"/>
          </w:tcPr>
          <w:p>
            <w:pPr>
              <w:spacing w:after="0"/>
            </w:pPr>
            <w:r>
              <w:rPr>
                <w:sz w:val="17"/>
              </w:rPr>
              <w:t>epoch</w:t>
            </w:r>
          </w:p>
        </w:tc>
        <w:tc>
          <w:tcPr>
            <w:tcW w:type="dxa" w:w="5669"/>
            <w:vAlign w:val="top"/>
          </w:tcPr>
          <w:p>
            <w:pPr>
              <w:spacing w:after="0"/>
            </w:pPr>
            <w:r>
              <w:rPr>
                <w:sz w:val="17"/>
              </w:rPr>
              <w:t>Évaluation après chaque époque.</w:t>
            </w:r>
          </w:p>
        </w:tc>
      </w:tr>
      <w:tr>
        <w:tc>
          <w:tcPr>
            <w:tcW w:type="dxa" w:w="2268"/>
            <w:shd w:fill="EAF2F8"/>
            <w:vAlign w:val="top"/>
          </w:tcPr>
          <w:p>
            <w:pPr>
              <w:spacing w:after="0"/>
            </w:pPr>
            <w:r>
              <w:rPr>
                <w:sz w:val="17"/>
              </w:rPr>
              <w:t>save_strategy</w:t>
            </w:r>
          </w:p>
        </w:tc>
        <w:tc>
          <w:tcPr>
            <w:tcW w:type="dxa" w:w="1417"/>
            <w:shd w:fill="EAF2F8"/>
            <w:vAlign w:val="top"/>
          </w:tcPr>
          <w:p>
            <w:pPr>
              <w:spacing w:after="0"/>
            </w:pPr>
            <w:r>
              <w:rPr>
                <w:sz w:val="17"/>
              </w:rPr>
              <w:t>epoch</w:t>
            </w:r>
          </w:p>
        </w:tc>
        <w:tc>
          <w:tcPr>
            <w:tcW w:type="dxa" w:w="5669"/>
            <w:shd w:fill="EAF2F8"/>
            <w:vAlign w:val="top"/>
          </w:tcPr>
          <w:p>
            <w:pPr>
              <w:spacing w:after="0"/>
            </w:pPr>
            <w:r>
              <w:rPr>
                <w:sz w:val="17"/>
              </w:rPr>
              <w:t>Sauvegarde d’un checkpoint après chaque époque.</w:t>
            </w:r>
          </w:p>
        </w:tc>
      </w:tr>
      <w:tr>
        <w:tc>
          <w:tcPr>
            <w:tcW w:type="dxa" w:w="2268"/>
            <w:vAlign w:val="top"/>
          </w:tcPr>
          <w:p>
            <w:pPr>
              <w:spacing w:after="0"/>
            </w:pPr>
            <w:r>
              <w:rPr>
                <w:sz w:val="17"/>
              </w:rPr>
              <w:t>load_best_model_at_end</w:t>
            </w:r>
          </w:p>
        </w:tc>
        <w:tc>
          <w:tcPr>
            <w:tcW w:type="dxa" w:w="1417"/>
            <w:vAlign w:val="top"/>
          </w:tcPr>
          <w:p>
            <w:pPr>
              <w:spacing w:after="0"/>
            </w:pPr>
            <w:r>
              <w:rPr>
                <w:sz w:val="17"/>
              </w:rPr>
              <w:t>True</w:t>
            </w:r>
          </w:p>
        </w:tc>
        <w:tc>
          <w:tcPr>
            <w:tcW w:type="dxa" w:w="5669"/>
            <w:vAlign w:val="top"/>
          </w:tcPr>
          <w:p>
            <w:pPr>
              <w:spacing w:after="0"/>
            </w:pPr>
            <w:r>
              <w:rPr>
                <w:sz w:val="17"/>
              </w:rPr>
              <w:t>Recharge le meilleur checkpoint selon la métrique suivie.</w:t>
            </w:r>
          </w:p>
        </w:tc>
      </w:tr>
    </w:tbl>
    <w:p>
      <w:pPr>
        <w:spacing w:after="20"/>
      </w:pPr>
    </w:p>
    <w:p>
      <w:pPr>
        <w:spacing w:after="120" w:line="259" w:lineRule="auto"/>
      </w:pPr>
      <w:r>
        <w:t>La sortie indique 40 paires uniques créées à partir des huit exemples, un entraînement sur CPU et un avertissement pin_memory sans accélérateur. La variable WANDB_DISABLED fonctionne mais est signalée comme obsolète ; il est préférable d’utiliser report_to='none' dans les arguments d’entraînement.</w:t>
      </w:r>
    </w:p>
    <w:tbl>
      <w:tblPr>
        <w:tblStyle w:val="TableGrid"/>
        <w:tblW w:type="auto" w:w="0"/>
        <w:jc w:val="center"/>
        <w:tblLook w:firstColumn="1" w:firstRow="1" w:lastColumn="0" w:lastRow="0" w:noHBand="0" w:noVBand="1" w:val="04A0"/>
      </w:tblPr>
      <w:tblGrid>
        <w:gridCol w:w="9752"/>
      </w:tblGrid>
      <w:tr>
        <w:tc>
          <w:tcPr>
            <w:tcW w:type="dxa" w:w="9752"/>
            <w:shd w:fill="FFF2CC"/>
          </w:tcPr>
          <w:p>
            <w:pPr>
              <w:spacing w:after="40"/>
            </w:pPr>
            <w:r>
              <w:rPr>
                <w:b/>
              </w:rPr>
              <w:t xml:space="preserve">Incohérence documentaire — </w:t>
            </w:r>
            <w:r>
              <w:t>Le texte explicatif parle de « 4 époques au total » et d’un exemple de surapprentissage entre les époques 3 et 4, alors que le code configure num_epochs=2.</w:t>
            </w:r>
          </w:p>
        </w:tc>
      </w:tr>
    </w:tbl>
    <w:p>
      <w:pPr>
        <w:spacing w:after="20"/>
      </w:pPr>
    </w:p>
    <w:p>
      <w:pPr>
        <w:pStyle w:val="Heading2"/>
        <w:keepNext/>
      </w:pPr>
      <w:r>
        <w:t>4.6. Évaluation</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fill="1F4E78"/>
            <w:vAlign w:val="center"/>
          </w:tcPr>
          <w:p>
            <w:pPr>
              <w:jc w:val="center"/>
            </w:pPr>
            <w:r>
              <w:rPr>
                <w:b/>
                <w:color w:val="FFFFFF"/>
                <w:sz w:val="17"/>
              </w:rPr>
              <w:t>Métrique</w:t>
            </w:r>
          </w:p>
        </w:tc>
        <w:tc>
          <w:tcPr>
            <w:tcW w:type="dxa" w:w="3251"/>
            <w:shd w:fill="1F4E78"/>
            <w:vAlign w:val="center"/>
          </w:tcPr>
          <w:p>
            <w:pPr>
              <w:jc w:val="center"/>
            </w:pPr>
            <w:r>
              <w:rPr>
                <w:b/>
                <w:color w:val="FFFFFF"/>
                <w:sz w:val="17"/>
              </w:rPr>
              <w:t>Valeur enregistrée</w:t>
            </w:r>
          </w:p>
        </w:tc>
        <w:tc>
          <w:tcPr>
            <w:tcW w:type="dxa" w:w="3251"/>
            <w:shd w:fill="1F4E78"/>
            <w:vAlign w:val="center"/>
          </w:tcPr>
          <w:p>
            <w:pPr>
              <w:jc w:val="center"/>
            </w:pPr>
            <w:r>
              <w:rPr>
                <w:b/>
                <w:color w:val="FFFFFF"/>
                <w:sz w:val="17"/>
              </w:rPr>
              <w:t>Lecture</w:t>
            </w:r>
          </w:p>
        </w:tc>
      </w:tr>
      <w:tr>
        <w:tc>
          <w:tcPr>
            <w:tcW w:type="dxa" w:w="2268"/>
            <w:vAlign w:val="top"/>
          </w:tcPr>
          <w:p>
            <w:pPr>
              <w:spacing w:after="0"/>
            </w:pPr>
            <w:r>
              <w:rPr>
                <w:sz w:val="17"/>
              </w:rPr>
              <w:t>Exactitude</w:t>
            </w:r>
          </w:p>
        </w:tc>
        <w:tc>
          <w:tcPr>
            <w:tcW w:type="dxa" w:w="1814"/>
            <w:vAlign w:val="top"/>
          </w:tcPr>
          <w:p>
            <w:pPr>
              <w:spacing w:after="0"/>
            </w:pPr>
            <w:r>
              <w:rPr>
                <w:sz w:val="17"/>
              </w:rPr>
              <w:t>0,6078</w:t>
            </w:r>
          </w:p>
        </w:tc>
        <w:tc>
          <w:tcPr>
            <w:tcW w:type="dxa" w:w="5272"/>
            <w:vAlign w:val="top"/>
          </w:tcPr>
          <w:p>
            <w:pPr>
              <w:spacing w:after="0"/>
            </w:pPr>
            <w:r>
              <w:rPr>
                <w:sz w:val="17"/>
              </w:rPr>
              <w:t>Environ 31 prédictions correctes sur 51, selon l’arrondi.</w:t>
            </w:r>
          </w:p>
        </w:tc>
      </w:tr>
      <w:tr>
        <w:tc>
          <w:tcPr>
            <w:tcW w:type="dxa" w:w="2268"/>
            <w:shd w:fill="EAF2F8"/>
            <w:vAlign w:val="top"/>
          </w:tcPr>
          <w:p>
            <w:pPr>
              <w:spacing w:after="0"/>
            </w:pPr>
            <w:r>
              <w:rPr>
                <w:sz w:val="17"/>
              </w:rPr>
              <w:t>Précision pondérée</w:t>
            </w:r>
          </w:p>
        </w:tc>
        <w:tc>
          <w:tcPr>
            <w:tcW w:type="dxa" w:w="1814"/>
            <w:shd w:fill="EAF2F8"/>
            <w:vAlign w:val="top"/>
          </w:tcPr>
          <w:p>
            <w:pPr>
              <w:spacing w:after="0"/>
            </w:pPr>
            <w:r>
              <w:rPr>
                <w:sz w:val="17"/>
              </w:rPr>
              <w:t>0,6497</w:t>
            </w:r>
          </w:p>
        </w:tc>
        <w:tc>
          <w:tcPr>
            <w:tcW w:type="dxa" w:w="5272"/>
            <w:shd w:fill="EAF2F8"/>
            <w:vAlign w:val="top"/>
          </w:tcPr>
          <w:p>
            <w:pPr>
              <w:spacing w:after="0"/>
            </w:pPr>
            <w:r>
              <w:rPr>
                <w:sz w:val="17"/>
              </w:rPr>
              <w:t>Qualité des prédictions positives, pondérée par le nombre d’exemples de chaque classe.</w:t>
            </w:r>
          </w:p>
        </w:tc>
      </w:tr>
      <w:tr>
        <w:tc>
          <w:tcPr>
            <w:tcW w:type="dxa" w:w="2268"/>
            <w:vAlign w:val="top"/>
          </w:tcPr>
          <w:p>
            <w:pPr>
              <w:spacing w:after="0"/>
            </w:pPr>
            <w:r>
              <w:rPr>
                <w:sz w:val="17"/>
              </w:rPr>
              <w:t>Rappel pondéré</w:t>
            </w:r>
          </w:p>
        </w:tc>
        <w:tc>
          <w:tcPr>
            <w:tcW w:type="dxa" w:w="1814"/>
            <w:vAlign w:val="top"/>
          </w:tcPr>
          <w:p>
            <w:pPr>
              <w:spacing w:after="0"/>
            </w:pPr>
            <w:r>
              <w:rPr>
                <w:sz w:val="17"/>
              </w:rPr>
              <w:t>0,6078</w:t>
            </w:r>
          </w:p>
        </w:tc>
        <w:tc>
          <w:tcPr>
            <w:tcW w:type="dxa" w:w="5272"/>
            <w:vAlign w:val="top"/>
          </w:tcPr>
          <w:p>
            <w:pPr>
              <w:spacing w:after="0"/>
            </w:pPr>
            <w:r>
              <w:rPr>
                <w:sz w:val="17"/>
              </w:rPr>
              <w:t>Part des exemples retrouvés, pondérée par classe.</w:t>
            </w:r>
          </w:p>
        </w:tc>
      </w:tr>
      <w:tr>
        <w:tc>
          <w:tcPr>
            <w:tcW w:type="dxa" w:w="2268"/>
            <w:shd w:fill="EAF2F8"/>
            <w:vAlign w:val="top"/>
          </w:tcPr>
          <w:p>
            <w:pPr>
              <w:spacing w:after="0"/>
            </w:pPr>
            <w:r>
              <w:rPr>
                <w:sz w:val="17"/>
              </w:rPr>
              <w:t>F1 pondéré</w:t>
            </w:r>
          </w:p>
        </w:tc>
        <w:tc>
          <w:tcPr>
            <w:tcW w:type="dxa" w:w="1814"/>
            <w:shd w:fill="EAF2F8"/>
            <w:vAlign w:val="top"/>
          </w:tcPr>
          <w:p>
            <w:pPr>
              <w:spacing w:after="0"/>
            </w:pPr>
            <w:r>
              <w:rPr>
                <w:sz w:val="17"/>
              </w:rPr>
              <w:t>0,5910</w:t>
            </w:r>
          </w:p>
        </w:tc>
        <w:tc>
          <w:tcPr>
            <w:tcW w:type="dxa" w:w="5272"/>
            <w:shd w:fill="EAF2F8"/>
            <w:vAlign w:val="top"/>
          </w:tcPr>
          <w:p>
            <w:pPr>
              <w:spacing w:after="0"/>
            </w:pPr>
            <w:r>
              <w:rPr>
                <w:sz w:val="17"/>
              </w:rPr>
              <w:t>Compromis précision–rappel plutôt faible.</w:t>
            </w:r>
          </w:p>
        </w:tc>
      </w:tr>
    </w:tbl>
    <w:p>
      <w:pPr>
        <w:spacing w:after="20"/>
      </w:pPr>
    </w:p>
    <w:p>
      <w:pPr>
        <w:spacing w:after="120" w:line="259" w:lineRule="auto"/>
      </w:pPr>
      <w:r>
        <w:t>Le score est supérieur à une prédiction aléatoire parfaite uniquement de manière modeste. Avec huit exemples, une variation d’un ou deux tweets d’entraînement peut modifier fortement le résultat. Une seule graine aléatoire ne permet pas d’estimer la variance. Il faudrait répéter l’expérience sur plusieurs tirages ou utiliser une validation croisée adaptée au faible volume.</w:t>
      </w:r>
    </w:p>
    <w:p>
      <w:pPr>
        <w:spacing w:after="120" w:line="259" w:lineRule="auto"/>
      </w:pPr>
      <w:r>
        <w:t>La métrique est pondérée dans SetFit, alors que le notebook nlp.ipynb utilise une moyenne macro. Les valeurs ne sont donc pas directement comparables, même au-delà de la différence de tâche et de corpus.</w:t>
      </w:r>
    </w:p>
    <w:p>
      <w:pPr>
        <w:pStyle w:val="Heading2"/>
        <w:keepNext/>
      </w:pPr>
      <w:r>
        <w:t>4.7. Inférence et sauvegarde</w:t>
      </w:r>
    </w:p>
    <w:p>
      <w:pPr>
        <w:spacing w:after="120" w:line="259" w:lineRule="auto"/>
      </w:pPr>
      <w:r>
        <w:t>Le modèle est testé sur une phrase positive, une phrase mélancolique et la chaîne générique « Texte à tester ». predict renvoie une classe ; predict_proba renvoie deux scores, par exemple [0,6366 ; 0,3634] pour la chaîne générique. Ces valeurs doivent être interprétées avec prudence : la phrase française est hors du domaine principal du corpus anglais et les probabilités d’une tête de classification ne sont pas nécessairement calibrées.</w:t>
      </w:r>
    </w:p>
    <w:p>
      <w:pPr>
        <w:spacing w:after="120" w:line="259" w:lineRule="auto"/>
      </w:pPr>
      <w:r>
        <w:t>Les chemins de sauvegarde sont incohérents. Une cellule crée un dossier Windows local setfit_2epochs, puis la cellule d’entraînement remplace output_dir par /content/setfit_2epochs et les cellules d’inférence rechargent ce chemin. Cette structure peut fonctionner dans un notebook déjà exécuté dans un autre environnement, mais elle n’est pas portable.</w:t>
      </w:r>
    </w:p>
    <w:p>
      <w:pPr>
        <w:pStyle w:val="Heading1"/>
        <w:keepNext/>
      </w:pPr>
      <w:r>
        <w:t>5. Analyse détaillée de Tutorial_Gradio_Victorien (1).ipynb</w:t>
      </w:r>
    </w:p>
    <w:p>
      <w:pPr>
        <w:pStyle w:val="Heading2"/>
        <w:keepNext/>
      </w:pPr>
      <w:r>
        <w:t>5.1. De la fonction Python à l’application</w:t>
      </w:r>
    </w:p>
    <w:p>
      <w:pPr>
        <w:spacing w:after="120" w:line="259" w:lineRule="auto"/>
      </w:pPr>
      <w:r>
        <w:t>Le tutoriel commence par une expression régulière qui extrait les adresses électroniques. La logique est ensuite encapsulée dans find_emails(text), condition indispensable pour la connecter à Gradio. Le retour est une chaîne contenant les adresses trouvées ou un message d’absence de résultat.</w:t>
      </w:r>
    </w:p>
    <w:p>
      <w:pPr>
        <w:pStyle w:val="Code"/>
        <w:spacing w:before="80" w:after="140"/>
        <w:ind w:left="283" w:right="283"/>
        <w:shd w:fill="F3F4F6"/>
      </w:pPr>
      <w:r>
        <w:rPr>
          <w:rFonts w:ascii="Consolas" w:hAnsi="Consolas" w:eastAsia="Consolas"/>
          <w:sz w:val="16"/>
        </w:rPr>
        <w:t>pattern = r"[a-zA-Z0-9._%+-]+@[a-zA-Z0-9.-]+\.[a-zA-Z]{2,}"</w:t>
        <w:br/>
      </w:r>
      <w:r>
        <w:rPr>
          <w:rFonts w:ascii="Consolas" w:hAnsi="Consolas" w:eastAsia="Consolas"/>
          <w:sz w:val="16"/>
        </w:rPr>
        <w:t>matches = re.findall(pattern, text)</w:t>
        <w:br/>
      </w:r>
      <w:r>
        <w:rPr>
          <w:rFonts w:ascii="Consolas" w:hAnsi="Consolas" w:eastAsia="Consolas"/>
          <w:sz w:val="16"/>
        </w:rPr>
        <w:t>return ", ".join(matches) if matches else "No email addresses found."</w:t>
        <w:br/>
      </w:r>
    </w:p>
    <w:p>
      <w:pPr>
        <w:spacing w:after="120" w:line="259" w:lineRule="auto"/>
      </w:pPr>
      <w:r>
        <w:t>Cette regex couvre de nombreuses adresses usuelles. Elle n’est toutefois pas un validateur complet de la norme e-mail : elle peut accepter certains domaines invalides et ne gère pas tous les caractères Unicode ou cas particuliers autorisés.</w:t>
      </w:r>
    </w:p>
    <w:p>
      <w:pPr>
        <w:pStyle w:val="Heading2"/>
        <w:keepNext/>
      </w:pPr>
      <w:r>
        <w:t>5.2. Fonction de sentiment TextBlob</w:t>
      </w:r>
    </w:p>
    <w:p>
      <w:pPr>
        <w:spacing w:after="120" w:line="259" w:lineRule="auto"/>
      </w:pPr>
      <w:r>
        <w:t>Le même principe est appliqué à TextBlob. analyze_sentiment_textblob(text_input) renvoie un tuple polarité–subjectivité. Trois exemples illustrent un texte positif, négatif et neutre. La neutralité de « The cat sat on the mat » est représentée par une polarité et une subjectivité égales à zéro.</w:t>
      </w:r>
    </w:p>
    <w:p>
      <w:pPr>
        <w:pStyle w:val="Heading2"/>
        <w:keepNext/>
      </w:pPr>
      <w:r>
        <w:t>5.3. Interface Gradio simple</w:t>
      </w:r>
    </w:p>
    <w:p>
      <w:pPr>
        <w:spacing w:after="120" w:line="259" w:lineRule="auto"/>
      </w:pPr>
      <w:r>
        <w:t>gr.Interface relie directement find_emails à une zone de texte en entrée et une zone de texte en sortie. Le titre et la description rendent le prototype immédiatement compréhensible. La sortie enregistrée indique un lancement local sur 127.0.0.1:7860.</w:t>
      </w:r>
    </w:p>
    <w:p>
      <w:pPr>
        <w:pStyle w:val="Heading2"/>
        <w:keepNext/>
      </w:pPr>
      <w:r>
        <w:t>5.4. Interface avancée avec Blocks</w:t>
      </w:r>
    </w:p>
    <w:p>
      <w:pPr>
        <w:spacing w:after="120" w:line="259" w:lineRule="auto"/>
      </w:pPr>
      <w:r>
        <w:t>La version Blocks introduit une composition plus riche : titre en Markdown, onglets Demo et Documentation, zones d’entrée/sortie, boutons Submit et Clear, ligne de boutons, exemples cliquables et callbacks .click. Cette partie explique correctement les briques de base d’une interface Gradio structurée.</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fill="1F4E78"/>
            <w:vAlign w:val="center"/>
          </w:tcPr>
          <w:p>
            <w:pPr>
              <w:jc w:val="center"/>
            </w:pPr>
            <w:r>
              <w:rPr>
                <w:b/>
                <w:color w:val="FFFFFF"/>
                <w:sz w:val="17"/>
              </w:rPr>
              <w:t>Composant</w:t>
            </w:r>
          </w:p>
        </w:tc>
        <w:tc>
          <w:tcPr>
            <w:tcW w:type="dxa" w:w="4876"/>
            <w:shd w:fill="1F4E78"/>
            <w:vAlign w:val="center"/>
          </w:tcPr>
          <w:p>
            <w:pPr>
              <w:jc w:val="center"/>
            </w:pPr>
            <w:r>
              <w:rPr>
                <w:b/>
                <w:color w:val="FFFFFF"/>
                <w:sz w:val="17"/>
              </w:rPr>
              <w:t>Rôle dans le notebook</w:t>
            </w:r>
          </w:p>
        </w:tc>
      </w:tr>
      <w:tr>
        <w:tc>
          <w:tcPr>
            <w:tcW w:type="dxa" w:w="2268"/>
            <w:vAlign w:val="top"/>
          </w:tcPr>
          <w:p>
            <w:pPr>
              <w:spacing w:after="0"/>
            </w:pPr>
            <w:r>
              <w:rPr>
                <w:sz w:val="17"/>
              </w:rPr>
              <w:t>gr.Blocks</w:t>
            </w:r>
          </w:p>
        </w:tc>
        <w:tc>
          <w:tcPr>
            <w:tcW w:type="dxa" w:w="7087"/>
            <w:vAlign w:val="top"/>
          </w:tcPr>
          <w:p>
            <w:pPr>
              <w:spacing w:after="0"/>
            </w:pPr>
            <w:r>
              <w:rPr>
                <w:sz w:val="17"/>
              </w:rPr>
              <w:t>Conteneur général et mise en page personnalisable.</w:t>
            </w:r>
          </w:p>
        </w:tc>
      </w:tr>
      <w:tr>
        <w:tc>
          <w:tcPr>
            <w:tcW w:type="dxa" w:w="2268"/>
            <w:shd w:fill="EAF2F8"/>
            <w:vAlign w:val="top"/>
          </w:tcPr>
          <w:p>
            <w:pPr>
              <w:spacing w:after="0"/>
            </w:pPr>
            <w:r>
              <w:rPr>
                <w:sz w:val="17"/>
              </w:rPr>
              <w:t>gr.Tabs / gr.Tab</w:t>
            </w:r>
          </w:p>
        </w:tc>
        <w:tc>
          <w:tcPr>
            <w:tcW w:type="dxa" w:w="7087"/>
            <w:shd w:fill="EAF2F8"/>
            <w:vAlign w:val="top"/>
          </w:tcPr>
          <w:p>
            <w:pPr>
              <w:spacing w:after="0"/>
            </w:pPr>
            <w:r>
              <w:rPr>
                <w:sz w:val="17"/>
              </w:rPr>
              <w:t>Séparation entre démonstration et documentation, puis entre analyses binaires et multi-émotions.</w:t>
            </w:r>
          </w:p>
        </w:tc>
      </w:tr>
      <w:tr>
        <w:tc>
          <w:tcPr>
            <w:tcW w:type="dxa" w:w="2268"/>
            <w:vAlign w:val="top"/>
          </w:tcPr>
          <w:p>
            <w:pPr>
              <w:spacing w:after="0"/>
            </w:pPr>
            <w:r>
              <w:rPr>
                <w:sz w:val="17"/>
              </w:rPr>
              <w:t>gr.Row / gr.Column</w:t>
            </w:r>
          </w:p>
        </w:tc>
        <w:tc>
          <w:tcPr>
            <w:tcW w:type="dxa" w:w="7087"/>
            <w:vAlign w:val="top"/>
          </w:tcPr>
          <w:p>
            <w:pPr>
              <w:spacing w:after="0"/>
            </w:pPr>
            <w:r>
              <w:rPr>
                <w:sz w:val="17"/>
              </w:rPr>
              <w:t>Organisation horizontale et verticale des composants.</w:t>
            </w:r>
          </w:p>
        </w:tc>
      </w:tr>
      <w:tr>
        <w:tc>
          <w:tcPr>
            <w:tcW w:type="dxa" w:w="2268"/>
            <w:shd w:fill="EAF2F8"/>
            <w:vAlign w:val="top"/>
          </w:tcPr>
          <w:p>
            <w:pPr>
              <w:spacing w:after="0"/>
            </w:pPr>
            <w:r>
              <w:rPr>
                <w:sz w:val="17"/>
              </w:rPr>
              <w:t>gr.Textbox</w:t>
            </w:r>
          </w:p>
        </w:tc>
        <w:tc>
          <w:tcPr>
            <w:tcW w:type="dxa" w:w="7087"/>
            <w:shd w:fill="EAF2F8"/>
            <w:vAlign w:val="top"/>
          </w:tcPr>
          <w:p>
            <w:pPr>
              <w:spacing w:after="0"/>
            </w:pPr>
            <w:r>
              <w:rPr>
                <w:sz w:val="17"/>
              </w:rPr>
              <w:t>Saisie du texte et affichage du résultat.</w:t>
            </w:r>
          </w:p>
        </w:tc>
      </w:tr>
      <w:tr>
        <w:tc>
          <w:tcPr>
            <w:tcW w:type="dxa" w:w="2268"/>
            <w:vAlign w:val="top"/>
          </w:tcPr>
          <w:p>
            <w:pPr>
              <w:spacing w:after="0"/>
            </w:pPr>
            <w:r>
              <w:rPr>
                <w:sz w:val="17"/>
              </w:rPr>
              <w:t>gr.Radio</w:t>
            </w:r>
          </w:p>
        </w:tc>
        <w:tc>
          <w:tcPr>
            <w:tcW w:type="dxa" w:w="7087"/>
            <w:vAlign w:val="top"/>
          </w:tcPr>
          <w:p>
            <w:pPr>
              <w:spacing w:after="0"/>
            </w:pPr>
            <w:r>
              <w:rPr>
                <w:sz w:val="17"/>
              </w:rPr>
              <w:t>Choix du modèle.</w:t>
            </w:r>
          </w:p>
        </w:tc>
      </w:tr>
      <w:tr>
        <w:tc>
          <w:tcPr>
            <w:tcW w:type="dxa" w:w="2268"/>
            <w:shd w:fill="EAF2F8"/>
            <w:vAlign w:val="top"/>
          </w:tcPr>
          <w:p>
            <w:pPr>
              <w:spacing w:after="0"/>
            </w:pPr>
            <w:r>
              <w:rPr>
                <w:sz w:val="17"/>
              </w:rPr>
              <w:t>gr.Button.click</w:t>
            </w:r>
          </w:p>
        </w:tc>
        <w:tc>
          <w:tcPr>
            <w:tcW w:type="dxa" w:w="7087"/>
            <w:shd w:fill="EAF2F8"/>
            <w:vAlign w:val="top"/>
          </w:tcPr>
          <w:p>
            <w:pPr>
              <w:spacing w:after="0"/>
            </w:pPr>
            <w:r>
              <w:rPr>
                <w:sz w:val="17"/>
              </w:rPr>
              <w:t>Connexion d’un événement utilisateur à une fonction Python.</w:t>
            </w:r>
          </w:p>
        </w:tc>
      </w:tr>
      <w:tr>
        <w:tc>
          <w:tcPr>
            <w:tcW w:type="dxa" w:w="2268"/>
            <w:vAlign w:val="top"/>
          </w:tcPr>
          <w:p>
            <w:pPr>
              <w:spacing w:after="0"/>
            </w:pPr>
            <w:r>
              <w:rPr>
                <w:sz w:val="17"/>
              </w:rPr>
              <w:t>gr.Examples</w:t>
            </w:r>
          </w:p>
        </w:tc>
        <w:tc>
          <w:tcPr>
            <w:tcW w:type="dxa" w:w="7087"/>
            <w:vAlign w:val="top"/>
          </w:tcPr>
          <w:p>
            <w:pPr>
              <w:spacing w:after="0"/>
            </w:pPr>
            <w:r>
              <w:rPr>
                <w:sz w:val="17"/>
              </w:rPr>
              <w:t>Jeux d’exemples cliquables pour tester rapidement l’application.</w:t>
            </w:r>
          </w:p>
        </w:tc>
      </w:tr>
      <w:tr>
        <w:tc>
          <w:tcPr>
            <w:tcW w:type="dxa" w:w="2268"/>
            <w:shd w:fill="EAF2F8"/>
            <w:vAlign w:val="top"/>
          </w:tcPr>
          <w:p>
            <w:pPr>
              <w:spacing w:after="0"/>
            </w:pPr>
            <w:r>
              <w:rPr>
                <w:sz w:val="17"/>
              </w:rPr>
              <w:t>gr.Markdown</w:t>
            </w:r>
          </w:p>
        </w:tc>
        <w:tc>
          <w:tcPr>
            <w:tcW w:type="dxa" w:w="7087"/>
            <w:shd w:fill="EAF2F8"/>
            <w:vAlign w:val="top"/>
          </w:tcPr>
          <w:p>
            <w:pPr>
              <w:spacing w:after="0"/>
            </w:pPr>
            <w:r>
              <w:rPr>
                <w:sz w:val="17"/>
              </w:rPr>
              <w:t>Titre, instructions et documentation intégrée.</w:t>
            </w:r>
          </w:p>
        </w:tc>
      </w:tr>
    </w:tbl>
    <w:p>
      <w:pPr>
        <w:spacing w:after="20"/>
      </w:pPr>
    </w:p>
    <w:p>
      <w:pPr>
        <w:pStyle w:val="Heading2"/>
        <w:keepNext/>
      </w:pPr>
      <w:r>
        <w:t>5.5. Application de comparaison de modèles</w:t>
      </w:r>
    </w:p>
    <w:p>
      <w:pPr>
        <w:spacing w:after="120" w:line="259" w:lineRule="auto"/>
      </w:pPr>
      <w:r>
        <w:t>L’application charge les modèles une seule fois au démarrage, puis predict_sentiment sélectionne le pipeline selon le bouton radio. Une validation empêche l’analyse d’un texte vide et un bloc try/except transforme les exceptions en messages lisibles.</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fill="1F4E78"/>
            <w:vAlign w:val="center"/>
          </w:tcPr>
          <w:p>
            <w:pPr>
              <w:jc w:val="center"/>
            </w:pPr>
            <w:r>
              <w:rPr>
                <w:b/>
                <w:color w:val="FFFFFF"/>
                <w:sz w:val="16"/>
              </w:rPr>
              <w:t>Nom dans le code</w:t>
            </w:r>
          </w:p>
        </w:tc>
        <w:tc>
          <w:tcPr>
            <w:tcW w:type="dxa" w:w="3251"/>
            <w:shd w:fill="1F4E78"/>
            <w:vAlign w:val="center"/>
          </w:tcPr>
          <w:p>
            <w:pPr>
              <w:jc w:val="center"/>
            </w:pPr>
            <w:r>
              <w:rPr>
                <w:b/>
                <w:color w:val="FFFFFF"/>
                <w:sz w:val="16"/>
              </w:rPr>
              <w:t>Modèle Hugging Face / méthode</w:t>
            </w:r>
          </w:p>
        </w:tc>
        <w:tc>
          <w:tcPr>
            <w:tcW w:type="dxa" w:w="3251"/>
            <w:shd w:fill="1F4E78"/>
            <w:vAlign w:val="center"/>
          </w:tcPr>
          <w:p>
            <w:pPr>
              <w:jc w:val="center"/>
            </w:pPr>
            <w:r>
              <w:rPr>
                <w:b/>
                <w:color w:val="FFFFFF"/>
                <w:sz w:val="16"/>
              </w:rPr>
              <w:t>Sortie réelle attendue</w:t>
            </w:r>
          </w:p>
        </w:tc>
      </w:tr>
      <w:tr>
        <w:tc>
          <w:tcPr>
            <w:tcW w:type="dxa" w:w="2268"/>
            <w:vAlign w:val="top"/>
          </w:tcPr>
          <w:p>
            <w:pPr>
              <w:spacing w:after="0"/>
            </w:pPr>
            <w:r>
              <w:rPr>
                <w:sz w:val="16"/>
              </w:rPr>
              <w:t>Model 1 (RoBERTa-large)</w:t>
            </w:r>
          </w:p>
        </w:tc>
        <w:tc>
          <w:tcPr>
            <w:tcW w:type="dxa" w:w="3685"/>
            <w:vAlign w:val="top"/>
          </w:tcPr>
          <w:p>
            <w:pPr>
              <w:spacing w:after="0"/>
            </w:pPr>
            <w:r>
              <w:rPr>
                <w:sz w:val="16"/>
              </w:rPr>
              <w:t>siebert/sentiment-roberta-large-english</w:t>
            </w:r>
          </w:p>
        </w:tc>
        <w:tc>
          <w:tcPr>
            <w:tcW w:type="dxa" w:w="3402"/>
            <w:vAlign w:val="top"/>
          </w:tcPr>
          <w:p>
            <w:pPr>
              <w:spacing w:after="0"/>
            </w:pPr>
            <w:r>
              <w:rPr>
                <w:sz w:val="16"/>
              </w:rPr>
              <w:t>Sentiment binaire POSITIVE/NEGATIVE et score.</w:t>
            </w:r>
          </w:p>
        </w:tc>
      </w:tr>
      <w:tr>
        <w:tc>
          <w:tcPr>
            <w:tcW w:type="dxa" w:w="2268"/>
            <w:shd w:fill="EAF2F8"/>
            <w:vAlign w:val="top"/>
          </w:tcPr>
          <w:p>
            <w:pPr>
              <w:spacing w:after="0"/>
            </w:pPr>
            <w:r>
              <w:rPr>
                <w:sz w:val="16"/>
              </w:rPr>
              <w:t>Model 2 (TextBlob)</w:t>
            </w:r>
          </w:p>
        </w:tc>
        <w:tc>
          <w:tcPr>
            <w:tcW w:type="dxa" w:w="3685"/>
            <w:shd w:fill="EAF2F8"/>
            <w:vAlign w:val="top"/>
          </w:tcPr>
          <w:p>
            <w:pPr>
              <w:spacing w:after="0"/>
            </w:pPr>
            <w:r>
              <w:rPr>
                <w:sz w:val="16"/>
              </w:rPr>
              <w:t>TextBlob Pattern Analyzer</w:t>
            </w:r>
          </w:p>
        </w:tc>
        <w:tc>
          <w:tcPr>
            <w:tcW w:type="dxa" w:w="3402"/>
            <w:shd w:fill="EAF2F8"/>
            <w:vAlign w:val="top"/>
          </w:tcPr>
          <w:p>
            <w:pPr>
              <w:spacing w:after="0"/>
            </w:pPr>
            <w:r>
              <w:rPr>
                <w:sz w:val="16"/>
              </w:rPr>
              <w:t>Polarité et subjectivité.</w:t>
            </w:r>
          </w:p>
        </w:tc>
      </w:tr>
      <w:tr>
        <w:tc>
          <w:tcPr>
            <w:tcW w:type="dxa" w:w="2268"/>
            <w:vAlign w:val="top"/>
          </w:tcPr>
          <w:p>
            <w:pPr>
              <w:spacing w:after="0"/>
            </w:pPr>
            <w:r>
              <w:rPr>
                <w:sz w:val="16"/>
              </w:rPr>
              <w:t>Classifier multiemotion</w:t>
            </w:r>
          </w:p>
        </w:tc>
        <w:tc>
          <w:tcPr>
            <w:tcW w:type="dxa" w:w="3685"/>
            <w:vAlign w:val="top"/>
          </w:tcPr>
          <w:p>
            <w:pPr>
              <w:spacing w:after="0"/>
            </w:pPr>
            <w:r>
              <w:rPr>
                <w:sz w:val="16"/>
              </w:rPr>
              <w:t>tabularisai/multilingual-emotion-classification</w:t>
            </w:r>
          </w:p>
        </w:tc>
        <w:tc>
          <w:tcPr>
            <w:tcW w:type="dxa" w:w="3402"/>
            <w:vAlign w:val="top"/>
          </w:tcPr>
          <w:p>
            <w:pPr>
              <w:spacing w:after="0"/>
            </w:pPr>
            <w:r>
              <w:rPr>
                <w:sz w:val="16"/>
              </w:rPr>
              <w:t>Catégorie émotionnelle multilingue et score.</w:t>
            </w:r>
          </w:p>
        </w:tc>
      </w:tr>
      <w:tr>
        <w:tc>
          <w:tcPr>
            <w:tcW w:type="dxa" w:w="2268"/>
            <w:shd w:fill="EAF2F8"/>
            <w:vAlign w:val="top"/>
          </w:tcPr>
          <w:p>
            <w:pPr>
              <w:spacing w:after="0"/>
            </w:pPr>
            <w:r>
              <w:rPr>
                <w:sz w:val="16"/>
              </w:rPr>
              <w:t>Classifier multiemotion1</w:t>
            </w:r>
          </w:p>
        </w:tc>
        <w:tc>
          <w:tcPr>
            <w:tcW w:type="dxa" w:w="3685"/>
            <w:shd w:fill="EAF2F8"/>
            <w:vAlign w:val="top"/>
          </w:tcPr>
          <w:p>
            <w:pPr>
              <w:spacing w:after="0"/>
            </w:pPr>
            <w:r>
              <w:rPr>
                <w:sz w:val="16"/>
              </w:rPr>
              <w:t>nlptown/bert-base-multilingual-uncased-sentiment</w:t>
            </w:r>
          </w:p>
        </w:tc>
        <w:tc>
          <w:tcPr>
            <w:tcW w:type="dxa" w:w="3402"/>
            <w:shd w:fill="EAF2F8"/>
            <w:vAlign w:val="top"/>
          </w:tcPr>
          <w:p>
            <w:pPr>
              <w:spacing w:after="0"/>
            </w:pPr>
            <w:r>
              <w:rPr>
                <w:sz w:val="16"/>
              </w:rPr>
              <w:t>Classe de satisfaction de type 1 à 5 étoiles, pas une émotion fine.</w:t>
            </w:r>
          </w:p>
        </w:tc>
      </w:tr>
      <w:tr>
        <w:tc>
          <w:tcPr>
            <w:tcW w:type="dxa" w:w="2268"/>
            <w:vAlign w:val="top"/>
          </w:tcPr>
          <w:p>
            <w:pPr>
              <w:spacing w:after="0"/>
            </w:pPr>
            <w:r>
              <w:rPr>
                <w:sz w:val="16"/>
              </w:rPr>
              <w:t>Classifier multiemotion2</w:t>
            </w:r>
          </w:p>
        </w:tc>
        <w:tc>
          <w:tcPr>
            <w:tcW w:type="dxa" w:w="3685"/>
            <w:vAlign w:val="top"/>
          </w:tcPr>
          <w:p>
            <w:pPr>
              <w:spacing w:after="0"/>
            </w:pPr>
            <w:r>
              <w:rPr>
                <w:sz w:val="16"/>
              </w:rPr>
              <w:t>cardiffnlp/twitter-xlm-roberta-base-sentiment</w:t>
            </w:r>
          </w:p>
        </w:tc>
        <w:tc>
          <w:tcPr>
            <w:tcW w:type="dxa" w:w="3402"/>
            <w:vAlign w:val="top"/>
          </w:tcPr>
          <w:p>
            <w:pPr>
              <w:spacing w:after="0"/>
            </w:pPr>
            <w:r>
              <w:rPr>
                <w:sz w:val="16"/>
              </w:rPr>
              <w:t>Sentiment multilingue négatif/neutre/positif, selon la configuration du modèle.</w:t>
            </w:r>
          </w:p>
        </w:tc>
      </w:tr>
    </w:tbl>
    <w:p>
      <w:pPr>
        <w:spacing w:after="20"/>
      </w:pPr>
    </w:p>
    <w:p>
      <w:pPr>
        <w:spacing w:after="120" w:line="259" w:lineRule="auto"/>
      </w:pPr>
      <w:r>
        <w:t>La dernière version sépare l’analyse binaire de l’analyse multi-émotions dans deux sous-onglets. C’est une amélioration fonctionnelle, mais les noms multiemotion1 et multiemotion2 sont trompeurs : l’un renvoie des étoiles et l’autre du sentiment à trois classes.</w:t>
      </w:r>
    </w:p>
    <w:p>
      <w:pPr>
        <w:pStyle w:val="Heading2"/>
        <w:keepNext/>
      </w:pPr>
      <w:r>
        <w:t>5.6. Avertissements et défauts d’interface</w:t>
      </w:r>
    </w:p>
    <w:p>
      <w:pPr>
        <w:pStyle w:val="ListBullet"/>
        <w:spacing w:after="60"/>
      </w:pPr>
      <w:r>
        <w:t>Gradio 6 avertit que theme doit être transmis à launch() plutôt qu’au constructeur Blocks.</w:t>
      </w:r>
    </w:p>
    <w:p>
      <w:pPr>
        <w:pStyle w:val="ListBullet"/>
        <w:spacing w:after="60"/>
      </w:pPr>
      <w:r>
        <w:t>gr.Examples est placé directement sous gr.Tabs dans la dernière version ; Gradio avertit que seuls des composants Tab/TabItem peuvent être des enfants directs.</w:t>
      </w:r>
    </w:p>
    <w:p>
      <w:pPr>
        <w:pStyle w:val="ListBullet"/>
        <w:spacing w:after="60"/>
      </w:pPr>
      <w:r>
        <w:t>Les variables text_input, model_choice, submit_button et output sont réutilisées dans les deux sous-onglets, ce qui rend le code plus difficile à maintenir.</w:t>
      </w:r>
    </w:p>
    <w:p>
      <w:pPr>
        <w:pStyle w:val="ListBullet"/>
        <w:spacing w:after="60"/>
      </w:pPr>
      <w:r>
        <w:t>Les exemples sont reliés au dernier text_input défini, donc principalement au sous-onglet multi-émotions.</w:t>
      </w:r>
    </w:p>
    <w:p>
      <w:pPr>
        <w:pStyle w:val="ListBullet"/>
        <w:spacing w:after="60"/>
      </w:pPr>
      <w:r>
        <w:t>La documentation décrit trois modèles alors que la dernière version en charge cinq.</w:t>
      </w:r>
    </w:p>
    <w:p>
      <w:pPr>
        <w:pStyle w:val="ListBullet"/>
        <w:spacing w:after="60"/>
      </w:pPr>
      <w:r>
        <w:t>Les cinq modèles sont chargés au démarrage sur CPU : consommation mémoire élevée et lancement lent.</w:t>
      </w:r>
    </w:p>
    <w:p>
      <w:pPr>
        <w:pStyle w:val="ListBullet"/>
        <w:spacing w:after="60"/>
      </w:pPr>
      <w:r>
        <w:t>La déclaration de confidentialité n’est pas techniquement vérifiée par le notebook ; aucune politique de journalisation ou de persistance n’est configurée.</w:t>
      </w:r>
    </w:p>
    <w:p>
      <w:pPr>
        <w:spacing w:after="120" w:line="259" w:lineRule="auto"/>
      </w:pPr>
      <w:r>
        <w:t>Le chargement unique des modèles est néanmoins une bonne décision : les recréer à chaque clic serait beaucoup plus lent. Une version de production pourrait utiliser un cache, un chargement paresseux ou limiter le nombre de modèles actifs.</w:t>
      </w:r>
    </w:p>
    <w:p>
      <w:pPr>
        <w:pStyle w:val="Heading1"/>
        <w:keepNext/>
      </w:pPr>
      <w:r>
        <w:t>6. Lecture transversale des trois travaux</w:t>
      </w:r>
    </w:p>
    <w:p>
      <w:pPr>
        <w:pStyle w:val="Heading2"/>
        <w:keepNext/>
      </w:pPr>
      <w:r>
        <w:t>6.1. Chaîne fonctionnelle couverte</w:t>
      </w:r>
    </w:p>
    <w:p>
      <w:pPr>
        <w:spacing w:after="80"/>
        <w:ind w:left="369" w:hanging="369"/>
      </w:pPr>
      <w:r>
        <w:rPr>
          <w:b/>
        </w:rPr>
        <w:t xml:space="preserve">1. </w:t>
      </w:r>
      <w:r>
        <w:t>nlp.ipynb explore plusieurs approches prêtes à l’emploi et mesure leurs performances sur un corpus étiqueté.</w:t>
      </w:r>
    </w:p>
    <w:p>
      <w:pPr>
        <w:spacing w:after="80"/>
        <w:ind w:left="369" w:hanging="369"/>
      </w:pPr>
      <w:r>
        <w:rPr>
          <w:b/>
        </w:rPr>
        <w:t xml:space="preserve">2. </w:t>
      </w:r>
      <w:r>
        <w:t>SetFit.ipynb montre comment construire un modèle personnalisé lorsque la tâche ne correspond pas exactement aux modèles génériques disponibles.</w:t>
      </w:r>
    </w:p>
    <w:p>
      <w:pPr>
        <w:spacing w:after="80"/>
        <w:ind w:left="369" w:hanging="369"/>
      </w:pPr>
      <w:r>
        <w:rPr>
          <w:b/>
        </w:rPr>
        <w:t xml:space="preserve">3. </w:t>
      </w:r>
      <w:r>
        <w:t>Tutorial_Gradio_Victorien (1).ipynb montre comment exposer une fonction ou un modèle sous forme d’application utilisable.</w:t>
      </w:r>
    </w:p>
    <w:p>
      <w:pPr>
        <w:spacing w:after="120" w:line="259" w:lineRule="auto"/>
      </w:pPr>
      <w:r>
        <w:t>Cette progression représente une architecture de projet NLP réaliste : benchmark initial, adaptation au domaine, puis prototype d’interface. Elle permet également de comprendre que le meilleur modèle n’est pas toujours le plus approprié : les méthodes lexicales sont rapides et explicables, les Transformers sont plus précis mais plus lourds, et SetFit devient intéressant quand les données annotées sont rares.</w:t>
      </w:r>
    </w:p>
    <w:p>
      <w:pPr>
        <w:pStyle w:val="Heading2"/>
        <w:keepNext/>
      </w:pPr>
      <w:r>
        <w:t>6.2. Comparaison des approches</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tblHeader w:val="true"/>
        </w:trPr>
        <w:tc>
          <w:tcPr>
            <w:tcW w:type="dxa" w:w="1625"/>
            <w:shd w:fill="1F4E78"/>
            <w:vAlign w:val="center"/>
          </w:tcPr>
          <w:p>
            <w:pPr>
              <w:jc w:val="center"/>
            </w:pPr>
            <w:r>
              <w:rPr>
                <w:b/>
                <w:color w:val="FFFFFF"/>
                <w:sz w:val="15"/>
              </w:rPr>
              <w:t>Approche</w:t>
            </w:r>
          </w:p>
        </w:tc>
        <w:tc>
          <w:tcPr>
            <w:tcW w:type="dxa" w:w="1625"/>
            <w:shd w:fill="1F4E78"/>
            <w:vAlign w:val="center"/>
          </w:tcPr>
          <w:p>
            <w:pPr>
              <w:jc w:val="center"/>
            </w:pPr>
            <w:r>
              <w:rPr>
                <w:b/>
                <w:color w:val="FFFFFF"/>
                <w:sz w:val="15"/>
              </w:rPr>
              <w:t>Données d’entraînement locales</w:t>
            </w:r>
          </w:p>
        </w:tc>
        <w:tc>
          <w:tcPr>
            <w:tcW w:type="dxa" w:w="1625"/>
            <w:shd w:fill="1F4E78"/>
            <w:vAlign w:val="center"/>
          </w:tcPr>
          <w:p>
            <w:pPr>
              <w:jc w:val="center"/>
            </w:pPr>
            <w:r>
              <w:rPr>
                <w:b/>
                <w:color w:val="FFFFFF"/>
                <w:sz w:val="15"/>
              </w:rPr>
              <w:t>Vitesse</w:t>
            </w:r>
          </w:p>
        </w:tc>
        <w:tc>
          <w:tcPr>
            <w:tcW w:type="dxa" w:w="1625"/>
            <w:shd w:fill="1F4E78"/>
            <w:vAlign w:val="center"/>
          </w:tcPr>
          <w:p>
            <w:pPr>
              <w:jc w:val="center"/>
            </w:pPr>
            <w:r>
              <w:rPr>
                <w:b/>
                <w:color w:val="FFFFFF"/>
                <w:sz w:val="15"/>
              </w:rPr>
              <w:t>Contexte linguistique</w:t>
            </w:r>
          </w:p>
        </w:tc>
        <w:tc>
          <w:tcPr>
            <w:tcW w:type="dxa" w:w="1625"/>
            <w:shd w:fill="1F4E78"/>
            <w:vAlign w:val="center"/>
          </w:tcPr>
          <w:p>
            <w:pPr>
              <w:jc w:val="center"/>
            </w:pPr>
            <w:r>
              <w:rPr>
                <w:b/>
                <w:color w:val="FFFFFF"/>
                <w:sz w:val="15"/>
              </w:rPr>
              <w:t>Interprétabilité</w:t>
            </w:r>
          </w:p>
        </w:tc>
        <w:tc>
          <w:tcPr>
            <w:tcW w:type="dxa" w:w="1625"/>
            <w:shd w:fill="1F4E78"/>
            <w:vAlign w:val="center"/>
          </w:tcPr>
          <w:p>
            <w:pPr>
              <w:jc w:val="center"/>
            </w:pPr>
            <w:r>
              <w:rPr>
                <w:b/>
                <w:color w:val="FFFFFF"/>
                <w:sz w:val="15"/>
              </w:rPr>
              <w:t>Cas d’usage</w:t>
            </w:r>
          </w:p>
        </w:tc>
      </w:tr>
      <w:tr>
        <w:tc>
          <w:tcPr>
            <w:tcW w:type="dxa" w:w="1814"/>
            <w:vAlign w:val="top"/>
          </w:tcPr>
          <w:p>
            <w:pPr>
              <w:spacing w:after="0"/>
            </w:pPr>
            <w:r>
              <w:rPr>
                <w:sz w:val="15"/>
              </w:rPr>
              <w:t>TextBlob Pattern</w:t>
            </w:r>
          </w:p>
        </w:tc>
        <w:tc>
          <w:tcPr>
            <w:tcW w:type="dxa" w:w="1701"/>
            <w:vAlign w:val="top"/>
          </w:tcPr>
          <w:p>
            <w:pPr>
              <w:spacing w:after="0"/>
            </w:pPr>
            <w:r>
              <w:rPr>
                <w:sz w:val="15"/>
              </w:rPr>
              <w:t>Aucune</w:t>
            </w:r>
          </w:p>
        </w:tc>
        <w:tc>
          <w:tcPr>
            <w:tcW w:type="dxa" w:w="1304"/>
            <w:vAlign w:val="top"/>
          </w:tcPr>
          <w:p>
            <w:pPr>
              <w:spacing w:after="0"/>
            </w:pPr>
            <w:r>
              <w:rPr>
                <w:sz w:val="15"/>
              </w:rPr>
              <w:t>Très rapide</w:t>
            </w:r>
          </w:p>
        </w:tc>
        <w:tc>
          <w:tcPr>
            <w:tcW w:type="dxa" w:w="1984"/>
            <w:vAlign w:val="top"/>
          </w:tcPr>
          <w:p>
            <w:pPr>
              <w:spacing w:after="0"/>
            </w:pPr>
            <w:r>
              <w:rPr>
                <w:sz w:val="15"/>
              </w:rPr>
              <w:t>Faible à moyenne</w:t>
            </w:r>
          </w:p>
        </w:tc>
        <w:tc>
          <w:tcPr>
            <w:tcW w:type="dxa" w:w="1417"/>
            <w:vAlign w:val="top"/>
          </w:tcPr>
          <w:p>
            <w:pPr>
              <w:spacing w:after="0"/>
            </w:pPr>
            <w:r>
              <w:rPr>
                <w:sz w:val="15"/>
              </w:rPr>
              <w:t>Élevée</w:t>
            </w:r>
          </w:p>
        </w:tc>
        <w:tc>
          <w:tcPr>
            <w:tcW w:type="dxa" w:w="2268"/>
            <w:vAlign w:val="top"/>
          </w:tcPr>
          <w:p>
            <w:pPr>
              <w:spacing w:after="0"/>
            </w:pPr>
            <w:r>
              <w:rPr>
                <w:sz w:val="15"/>
              </w:rPr>
              <w:t>Prototype, score simple, anglais.</w:t>
            </w:r>
          </w:p>
        </w:tc>
      </w:tr>
      <w:tr>
        <w:tc>
          <w:tcPr>
            <w:tcW w:type="dxa" w:w="1814"/>
            <w:shd w:fill="EAF2F8"/>
            <w:vAlign w:val="top"/>
          </w:tcPr>
          <w:p>
            <w:pPr>
              <w:spacing w:after="0"/>
            </w:pPr>
            <w:r>
              <w:rPr>
                <w:sz w:val="15"/>
              </w:rPr>
              <w:t>VADER</w:t>
            </w:r>
          </w:p>
        </w:tc>
        <w:tc>
          <w:tcPr>
            <w:tcW w:type="dxa" w:w="1701"/>
            <w:shd w:fill="EAF2F8"/>
            <w:vAlign w:val="top"/>
          </w:tcPr>
          <w:p>
            <w:pPr>
              <w:spacing w:after="0"/>
            </w:pPr>
            <w:r>
              <w:rPr>
                <w:sz w:val="15"/>
              </w:rPr>
              <w:t>Aucune</w:t>
            </w:r>
          </w:p>
        </w:tc>
        <w:tc>
          <w:tcPr>
            <w:tcW w:type="dxa" w:w="1304"/>
            <w:shd w:fill="EAF2F8"/>
            <w:vAlign w:val="top"/>
          </w:tcPr>
          <w:p>
            <w:pPr>
              <w:spacing w:after="0"/>
            </w:pPr>
            <w:r>
              <w:rPr>
                <w:sz w:val="15"/>
              </w:rPr>
              <w:t>Très rapide</w:t>
            </w:r>
          </w:p>
        </w:tc>
        <w:tc>
          <w:tcPr>
            <w:tcW w:type="dxa" w:w="1984"/>
            <w:shd w:fill="EAF2F8"/>
            <w:vAlign w:val="top"/>
          </w:tcPr>
          <w:p>
            <w:pPr>
              <w:spacing w:after="0"/>
            </w:pPr>
            <w:r>
              <w:rPr>
                <w:sz w:val="15"/>
              </w:rPr>
              <w:t>Moyenne, adapté au ton social</w:t>
            </w:r>
          </w:p>
        </w:tc>
        <w:tc>
          <w:tcPr>
            <w:tcW w:type="dxa" w:w="1417"/>
            <w:shd w:fill="EAF2F8"/>
            <w:vAlign w:val="top"/>
          </w:tcPr>
          <w:p>
            <w:pPr>
              <w:spacing w:after="0"/>
            </w:pPr>
            <w:r>
              <w:rPr>
                <w:sz w:val="15"/>
              </w:rPr>
              <w:t>Élevée</w:t>
            </w:r>
          </w:p>
        </w:tc>
        <w:tc>
          <w:tcPr>
            <w:tcW w:type="dxa" w:w="2268"/>
            <w:shd w:fill="EAF2F8"/>
            <w:vAlign w:val="top"/>
          </w:tcPr>
          <w:p>
            <w:pPr>
              <w:spacing w:after="0"/>
            </w:pPr>
            <w:r>
              <w:rPr>
                <w:sz w:val="15"/>
              </w:rPr>
              <w:t>Réseaux sociaux, avis courts, anglais.</w:t>
            </w:r>
          </w:p>
        </w:tc>
      </w:tr>
      <w:tr>
        <w:tc>
          <w:tcPr>
            <w:tcW w:type="dxa" w:w="1814"/>
            <w:vAlign w:val="top"/>
          </w:tcPr>
          <w:p>
            <w:pPr>
              <w:spacing w:after="0"/>
            </w:pPr>
            <w:r>
              <w:rPr>
                <w:sz w:val="15"/>
              </w:rPr>
              <w:t>Flair pré-entraîné</w:t>
            </w:r>
          </w:p>
        </w:tc>
        <w:tc>
          <w:tcPr>
            <w:tcW w:type="dxa" w:w="1701"/>
            <w:vAlign w:val="top"/>
          </w:tcPr>
          <w:p>
            <w:pPr>
              <w:spacing w:after="0"/>
            </w:pPr>
            <w:r>
              <w:rPr>
                <w:sz w:val="15"/>
              </w:rPr>
              <w:t>Aucune</w:t>
            </w:r>
          </w:p>
        </w:tc>
        <w:tc>
          <w:tcPr>
            <w:tcW w:type="dxa" w:w="1304"/>
            <w:vAlign w:val="top"/>
          </w:tcPr>
          <w:p>
            <w:pPr>
              <w:spacing w:after="0"/>
            </w:pPr>
            <w:r>
              <w:rPr>
                <w:sz w:val="15"/>
              </w:rPr>
              <w:t>Plus lente</w:t>
            </w:r>
          </w:p>
        </w:tc>
        <w:tc>
          <w:tcPr>
            <w:tcW w:type="dxa" w:w="1984"/>
            <w:vAlign w:val="top"/>
          </w:tcPr>
          <w:p>
            <w:pPr>
              <w:spacing w:after="0"/>
            </w:pPr>
            <w:r>
              <w:rPr>
                <w:sz w:val="15"/>
              </w:rPr>
              <w:t>Élevée pour sa tâche anglaise</w:t>
            </w:r>
          </w:p>
        </w:tc>
        <w:tc>
          <w:tcPr>
            <w:tcW w:type="dxa" w:w="1417"/>
            <w:vAlign w:val="top"/>
          </w:tcPr>
          <w:p>
            <w:pPr>
              <w:spacing w:after="0"/>
            </w:pPr>
            <w:r>
              <w:rPr>
                <w:sz w:val="15"/>
              </w:rPr>
              <w:t>Moyenne</w:t>
            </w:r>
          </w:p>
        </w:tc>
        <w:tc>
          <w:tcPr>
            <w:tcW w:type="dxa" w:w="2268"/>
            <w:vAlign w:val="top"/>
          </w:tcPr>
          <w:p>
            <w:pPr>
              <w:spacing w:after="0"/>
            </w:pPr>
            <w:r>
              <w:rPr>
                <w:sz w:val="15"/>
              </w:rPr>
              <w:t>Sentiment binaire performant.</w:t>
            </w:r>
          </w:p>
        </w:tc>
      </w:tr>
      <w:tr>
        <w:tc>
          <w:tcPr>
            <w:tcW w:type="dxa" w:w="1814"/>
            <w:shd w:fill="EAF2F8"/>
            <w:vAlign w:val="top"/>
          </w:tcPr>
          <w:p>
            <w:pPr>
              <w:spacing w:after="0"/>
            </w:pPr>
            <w:r>
              <w:rPr>
                <w:sz w:val="15"/>
              </w:rPr>
              <w:t>SetFit</w:t>
            </w:r>
          </w:p>
        </w:tc>
        <w:tc>
          <w:tcPr>
            <w:tcW w:type="dxa" w:w="1701"/>
            <w:shd w:fill="EAF2F8"/>
            <w:vAlign w:val="top"/>
          </w:tcPr>
          <w:p>
            <w:pPr>
              <w:spacing w:after="0"/>
            </w:pPr>
            <w:r>
              <w:rPr>
                <w:sz w:val="15"/>
              </w:rPr>
              <w:t>Quelques exemples annotés</w:t>
            </w:r>
          </w:p>
        </w:tc>
        <w:tc>
          <w:tcPr>
            <w:tcW w:type="dxa" w:w="1304"/>
            <w:shd w:fill="EAF2F8"/>
            <w:vAlign w:val="top"/>
          </w:tcPr>
          <w:p>
            <w:pPr>
              <w:spacing w:after="0"/>
            </w:pPr>
            <w:r>
              <w:rPr>
                <w:sz w:val="15"/>
              </w:rPr>
              <w:t>Entraînement modéré, inférence efficace</w:t>
            </w:r>
          </w:p>
        </w:tc>
        <w:tc>
          <w:tcPr>
            <w:tcW w:type="dxa" w:w="1984"/>
            <w:shd w:fill="EAF2F8"/>
            <w:vAlign w:val="top"/>
          </w:tcPr>
          <w:p>
            <w:pPr>
              <w:spacing w:after="0"/>
            </w:pPr>
            <w:r>
              <w:rPr>
                <w:sz w:val="15"/>
              </w:rPr>
              <w:t>Adapté au domaine si les exemples sont bons</w:t>
            </w:r>
          </w:p>
        </w:tc>
        <w:tc>
          <w:tcPr>
            <w:tcW w:type="dxa" w:w="1417"/>
            <w:shd w:fill="EAF2F8"/>
            <w:vAlign w:val="top"/>
          </w:tcPr>
          <w:p>
            <w:pPr>
              <w:spacing w:after="0"/>
            </w:pPr>
            <w:r>
              <w:rPr>
                <w:sz w:val="15"/>
              </w:rPr>
              <w:t>Moyenne</w:t>
            </w:r>
          </w:p>
        </w:tc>
        <w:tc>
          <w:tcPr>
            <w:tcW w:type="dxa" w:w="2268"/>
            <w:shd w:fill="EAF2F8"/>
            <w:vAlign w:val="top"/>
          </w:tcPr>
          <w:p>
            <w:pPr>
              <w:spacing w:after="0"/>
            </w:pPr>
            <w:r>
              <w:rPr>
                <w:sz w:val="15"/>
              </w:rPr>
              <w:t>Classification personnalisée few-shot.</w:t>
            </w:r>
          </w:p>
        </w:tc>
      </w:tr>
      <w:tr>
        <w:tc>
          <w:tcPr>
            <w:tcW w:type="dxa" w:w="1814"/>
            <w:vAlign w:val="top"/>
          </w:tcPr>
          <w:p>
            <w:pPr>
              <w:spacing w:after="0"/>
            </w:pPr>
            <w:r>
              <w:rPr>
                <w:sz w:val="15"/>
              </w:rPr>
              <w:t>Pipelines Transformers</w:t>
            </w:r>
          </w:p>
        </w:tc>
        <w:tc>
          <w:tcPr>
            <w:tcW w:type="dxa" w:w="1701"/>
            <w:vAlign w:val="top"/>
          </w:tcPr>
          <w:p>
            <w:pPr>
              <w:spacing w:after="0"/>
            </w:pPr>
            <w:r>
              <w:rPr>
                <w:sz w:val="15"/>
              </w:rPr>
              <w:t>Aucune ou fine-tuning externe</w:t>
            </w:r>
          </w:p>
        </w:tc>
        <w:tc>
          <w:tcPr>
            <w:tcW w:type="dxa" w:w="1304"/>
            <w:vAlign w:val="top"/>
          </w:tcPr>
          <w:p>
            <w:pPr>
              <w:spacing w:after="0"/>
            </w:pPr>
            <w:r>
              <w:rPr>
                <w:sz w:val="15"/>
              </w:rPr>
              <w:t>Lente sur CPU</w:t>
            </w:r>
          </w:p>
        </w:tc>
        <w:tc>
          <w:tcPr>
            <w:tcW w:type="dxa" w:w="1984"/>
            <w:vAlign w:val="top"/>
          </w:tcPr>
          <w:p>
            <w:pPr>
              <w:spacing w:after="0"/>
            </w:pPr>
            <w:r>
              <w:rPr>
                <w:sz w:val="15"/>
              </w:rPr>
              <w:t>Forte selon le modèle et les langues</w:t>
            </w:r>
          </w:p>
        </w:tc>
        <w:tc>
          <w:tcPr>
            <w:tcW w:type="dxa" w:w="1417"/>
            <w:vAlign w:val="top"/>
          </w:tcPr>
          <w:p>
            <w:pPr>
              <w:spacing w:after="0"/>
            </w:pPr>
            <w:r>
              <w:rPr>
                <w:sz w:val="15"/>
              </w:rPr>
              <w:t>Faible à moyenne</w:t>
            </w:r>
          </w:p>
        </w:tc>
        <w:tc>
          <w:tcPr>
            <w:tcW w:type="dxa" w:w="2268"/>
            <w:vAlign w:val="top"/>
          </w:tcPr>
          <w:p>
            <w:pPr>
              <w:spacing w:after="0"/>
            </w:pPr>
            <w:r>
              <w:rPr>
                <w:sz w:val="15"/>
              </w:rPr>
              <w:t>Sentiment/émotions multilingues et démo comparative.</w:t>
            </w:r>
          </w:p>
        </w:tc>
      </w:tr>
    </w:tbl>
    <w:p>
      <w:pPr>
        <w:spacing w:after="20"/>
      </w:pPr>
    </w:p>
    <w:p>
      <w:pPr>
        <w:pStyle w:val="Heading2"/>
        <w:keepNext/>
      </w:pPr>
      <w:r>
        <w:t>6.3. Qualité expérimentale</w:t>
      </w:r>
    </w:p>
    <w:p>
      <w:pPr>
        <w:spacing w:after="120" w:line="259" w:lineRule="auto"/>
      </w:pPr>
      <w:r>
        <w:t>Le benchmark Amazon est la partie la plus solide parce qu’il utilise le même corpus et les mêmes labels pour trois méthodes. Malgré cela, le seuil de classification, l’absence de matrice de confusion et l’absence de mesure de temps empêchent une comparaison complète. L’évaluation du Naive Bayes sur seulement 100 lignes doit être séparée du classement général.</w:t>
      </w:r>
    </w:p>
    <w:p>
      <w:pPr>
        <w:spacing w:after="120" w:line="259" w:lineRule="auto"/>
      </w:pPr>
      <w:r>
        <w:t>L’expérience SetFit est surtout démonstrative. Elle ne permet pas de conclure qu’un modèle SetFit est meilleur ou moins bon qu’un autre modèle, car le corpus, la tâche, les métriques et le volume de données diffèrent totalement du benchmark Amazon. De plus, huit exemples ne suffisent pas à produire une estimation stable.</w:t>
      </w:r>
    </w:p>
    <w:p>
      <w:pPr>
        <w:spacing w:after="120" w:line="259" w:lineRule="auto"/>
      </w:pPr>
      <w:r>
        <w:t>Le tutoriel Gradio n’effectue pas d’évaluation. Il expose des modèles ayant des tâches et des espaces de labels différents. Une comparaison visuelle de leurs sorties est pédagogique, mais elle ne constitue pas un benchmark tant qu’aucun corpus commun et aucune normalisation des labels ne sont définis.</w:t>
      </w:r>
    </w:p>
    <w:p>
      <w:pPr>
        <w:pStyle w:val="Heading1"/>
        <w:keepNext/>
      </w:pPr>
      <w:r>
        <w:t>7. Points forts du travail</w:t>
      </w:r>
    </w:p>
    <w:p>
      <w:pPr>
        <w:pStyle w:val="ListBullet"/>
        <w:spacing w:after="60"/>
      </w:pPr>
      <w:r>
        <w:t>Progression pédagogique claire : règles simples, lexiques, modèle neuronal, fine-tuning few-shot, puis interface.</w:t>
      </w:r>
    </w:p>
    <w:p>
      <w:pPr>
        <w:pStyle w:val="ListBullet"/>
        <w:spacing w:after="60"/>
      </w:pPr>
      <w:r>
        <w:t>Utilisation de plusieurs familles de modèles au lieu de se limiter à une seule bibliothèque.</w:t>
      </w:r>
    </w:p>
    <w:p>
      <w:pPr>
        <w:pStyle w:val="ListBullet"/>
        <w:spacing w:after="60"/>
      </w:pPr>
      <w:r>
        <w:t>Présence de métriques complètes — exactitude, précision, rappel et F1 — dans les expériences supervisées.</w:t>
      </w:r>
    </w:p>
    <w:p>
      <w:pPr>
        <w:pStyle w:val="ListBullet"/>
        <w:spacing w:after="60"/>
      </w:pPr>
      <w:r>
        <w:t>Corpus Amazon équilibré, ce qui facilite la lecture des résultats.</w:t>
      </w:r>
    </w:p>
    <w:p>
      <w:pPr>
        <w:pStyle w:val="ListBullet"/>
        <w:spacing w:after="60"/>
      </w:pPr>
      <w:r>
        <w:t>Bonne illustration des notions de polarité, subjectivité, négation, intensification et confiance.</w:t>
      </w:r>
    </w:p>
    <w:p>
      <w:pPr>
        <w:pStyle w:val="ListBullet"/>
        <w:spacing w:after="60"/>
      </w:pPr>
      <w:r>
        <w:t>Échantillonnage stratifié final dans le notebook SetFit.</w:t>
      </w:r>
    </w:p>
    <w:p>
      <w:pPr>
        <w:pStyle w:val="ListBullet"/>
        <w:spacing w:after="60"/>
      </w:pPr>
      <w:r>
        <w:t>Gestion de l’entrée vide et des exceptions dans l’application Gradio.</w:t>
      </w:r>
    </w:p>
    <w:p>
      <w:pPr>
        <w:pStyle w:val="ListBullet"/>
        <w:spacing w:after="60"/>
      </w:pPr>
      <w:r>
        <w:t>Documentation intégrée dans les interfaces et exemples cliquables.</w:t>
      </w:r>
    </w:p>
    <w:p>
      <w:pPr>
        <w:pStyle w:val="ListBullet"/>
        <w:spacing w:after="60"/>
      </w:pPr>
      <w:r>
        <w:t>Visualisation comparative des résultats de sentiment.</w:t>
      </w:r>
    </w:p>
    <w:p>
      <w:pPr>
        <w:pStyle w:val="Heading1"/>
        <w:keepNext/>
      </w:pPr>
      <w:r>
        <w:t>8. Limites, erreurs et risques identifiés</w:t>
      </w:r>
    </w:p>
    <w:tbl>
      <w:tblPr>
        <w:tblStyle w:val="TableGrid"/>
        <w:tblW w:type="auto" w:w="0"/>
        <w:jc w:val="center"/>
        <w:tblLook w:firstColumn="1" w:firstRow="1" w:lastColumn="0" w:lastRow="0" w:noHBand="0" w:noVBand="1" w:val="04A0"/>
      </w:tblPr>
      <w:tblGrid>
        <w:gridCol w:w="2438"/>
        <w:gridCol w:w="2438"/>
        <w:gridCol w:w="2438"/>
        <w:gridCol w:w="2438"/>
      </w:tblGrid>
      <w:tr>
        <w:trPr>
          <w:tblHeader w:val="true"/>
        </w:trPr>
        <w:tc>
          <w:tcPr>
            <w:tcW w:type="dxa" w:w="2438"/>
            <w:shd w:fill="1F4E78"/>
            <w:vAlign w:val="center"/>
          </w:tcPr>
          <w:p>
            <w:pPr>
              <w:jc w:val="center"/>
            </w:pPr>
            <w:r>
              <w:rPr>
                <w:b/>
                <w:color w:val="FFFFFF"/>
                <w:sz w:val="15"/>
              </w:rPr>
              <w:t>Priorité</w:t>
            </w:r>
          </w:p>
        </w:tc>
        <w:tc>
          <w:tcPr>
            <w:tcW w:type="dxa" w:w="2438"/>
            <w:shd w:fill="1F4E78"/>
            <w:vAlign w:val="center"/>
          </w:tcPr>
          <w:p>
            <w:pPr>
              <w:jc w:val="center"/>
            </w:pPr>
            <w:r>
              <w:rPr>
                <w:b/>
                <w:color w:val="FFFFFF"/>
                <w:sz w:val="15"/>
              </w:rPr>
              <w:t>Fichier</w:t>
            </w:r>
          </w:p>
        </w:tc>
        <w:tc>
          <w:tcPr>
            <w:tcW w:type="dxa" w:w="2438"/>
            <w:shd w:fill="1F4E78"/>
            <w:vAlign w:val="center"/>
          </w:tcPr>
          <w:p>
            <w:pPr>
              <w:jc w:val="center"/>
            </w:pPr>
            <w:r>
              <w:rPr>
                <w:b/>
                <w:color w:val="FFFFFF"/>
                <w:sz w:val="15"/>
              </w:rPr>
              <w:t>Problème</w:t>
            </w:r>
          </w:p>
        </w:tc>
        <w:tc>
          <w:tcPr>
            <w:tcW w:type="dxa" w:w="2438"/>
            <w:shd w:fill="1F4E78"/>
            <w:vAlign w:val="center"/>
          </w:tcPr>
          <w:p>
            <w:pPr>
              <w:jc w:val="center"/>
            </w:pPr>
            <w:r>
              <w:rPr>
                <w:b/>
                <w:color w:val="FFFFFF"/>
                <w:sz w:val="15"/>
              </w:rPr>
              <w:t>Conséquence</w:t>
            </w:r>
          </w:p>
        </w:tc>
      </w:tr>
      <w:tr>
        <w:tc>
          <w:tcPr>
            <w:tcW w:type="dxa" w:w="964"/>
            <w:vAlign w:val="top"/>
          </w:tcPr>
          <w:p>
            <w:pPr>
              <w:spacing w:after="0"/>
            </w:pPr>
            <w:r>
              <w:rPr>
                <w:sz w:val="15"/>
              </w:rPr>
              <w:t>Critique</w:t>
            </w:r>
          </w:p>
        </w:tc>
        <w:tc>
          <w:tcPr>
            <w:tcW w:type="dxa" w:w="1247"/>
            <w:vAlign w:val="top"/>
          </w:tcPr>
          <w:p>
            <w:pPr>
              <w:spacing w:after="0"/>
            </w:pPr>
            <w:r>
              <w:rPr>
                <w:sz w:val="15"/>
              </w:rPr>
              <w:t>SetFit</w:t>
            </w:r>
          </w:p>
        </w:tc>
        <w:tc>
          <w:tcPr>
            <w:tcW w:type="dxa" w:w="3515"/>
            <w:vAlign w:val="top"/>
          </w:tcPr>
          <w:p>
            <w:pPr>
              <w:spacing w:after="0"/>
            </w:pPr>
            <w:r>
              <w:rPr>
                <w:sz w:val="15"/>
              </w:rPr>
              <w:t>Première séparation utilisant des indices réinitialisés.</w:t>
            </w:r>
          </w:p>
        </w:tc>
        <w:tc>
          <w:tcPr>
            <w:tcW w:type="dxa" w:w="3628"/>
            <w:vAlign w:val="top"/>
          </w:tcPr>
          <w:p>
            <w:pPr>
              <w:spacing w:after="0"/>
            </w:pPr>
            <w:r>
              <w:rPr>
                <w:sz w:val="15"/>
              </w:rPr>
              <w:t>Risque de fuite entre entraînement et évaluation.</w:t>
            </w:r>
          </w:p>
        </w:tc>
      </w:tr>
      <w:tr>
        <w:tc>
          <w:tcPr>
            <w:tcW w:type="dxa" w:w="964"/>
            <w:shd w:fill="EAF2F8"/>
            <w:vAlign w:val="top"/>
          </w:tcPr>
          <w:p>
            <w:pPr>
              <w:spacing w:after="0"/>
            </w:pPr>
            <w:r>
              <w:rPr>
                <w:sz w:val="15"/>
              </w:rPr>
              <w:t>Critique</w:t>
            </w:r>
          </w:p>
        </w:tc>
        <w:tc>
          <w:tcPr>
            <w:tcW w:type="dxa" w:w="1247"/>
            <w:shd w:fill="EAF2F8"/>
            <w:vAlign w:val="top"/>
          </w:tcPr>
          <w:p>
            <w:pPr>
              <w:spacing w:after="0"/>
            </w:pPr>
            <w:r>
              <w:rPr>
                <w:sz w:val="15"/>
              </w:rPr>
              <w:t>SetFit</w:t>
            </w:r>
          </w:p>
        </w:tc>
        <w:tc>
          <w:tcPr>
            <w:tcW w:type="dxa" w:w="3515"/>
            <w:shd w:fill="EAF2F8"/>
            <w:vAlign w:val="top"/>
          </w:tcPr>
          <w:p>
            <w:pPr>
              <w:spacing w:after="0"/>
            </w:pPr>
            <w:r>
              <w:rPr>
                <w:sz w:val="15"/>
              </w:rPr>
              <w:t>47 lignes sur 106 non exploitées sans rapport détaillé.</w:t>
            </w:r>
          </w:p>
        </w:tc>
        <w:tc>
          <w:tcPr>
            <w:tcW w:type="dxa" w:w="3628"/>
            <w:shd w:fill="EAF2F8"/>
            <w:vAlign w:val="top"/>
          </w:tcPr>
          <w:p>
            <w:pPr>
              <w:spacing w:after="0"/>
            </w:pPr>
            <w:r>
              <w:rPr>
                <w:sz w:val="15"/>
              </w:rPr>
              <w:t>Corpus réduit et potentiellement biaisé.</w:t>
            </w:r>
          </w:p>
        </w:tc>
      </w:tr>
      <w:tr>
        <w:tc>
          <w:tcPr>
            <w:tcW w:type="dxa" w:w="964"/>
            <w:vAlign w:val="top"/>
          </w:tcPr>
          <w:p>
            <w:pPr>
              <w:spacing w:after="0"/>
            </w:pPr>
            <w:r>
              <w:rPr>
                <w:sz w:val="15"/>
              </w:rPr>
              <w:t>Élevée</w:t>
            </w:r>
          </w:p>
        </w:tc>
        <w:tc>
          <w:tcPr>
            <w:tcW w:type="dxa" w:w="1247"/>
            <w:vAlign w:val="top"/>
          </w:tcPr>
          <w:p>
            <w:pPr>
              <w:spacing w:after="0"/>
            </w:pPr>
            <w:r>
              <w:rPr>
                <w:sz w:val="15"/>
              </w:rPr>
              <w:t>SetFit</w:t>
            </w:r>
          </w:p>
        </w:tc>
        <w:tc>
          <w:tcPr>
            <w:tcW w:type="dxa" w:w="3515"/>
            <w:vAlign w:val="top"/>
          </w:tcPr>
          <w:p>
            <w:pPr>
              <w:spacing w:after="0"/>
            </w:pPr>
            <w:r>
              <w:rPr>
                <w:sz w:val="15"/>
              </w:rPr>
              <w:t>Seulement huit exemples et un seul tirage.</w:t>
            </w:r>
          </w:p>
        </w:tc>
        <w:tc>
          <w:tcPr>
            <w:tcW w:type="dxa" w:w="3628"/>
            <w:vAlign w:val="top"/>
          </w:tcPr>
          <w:p>
            <w:pPr>
              <w:spacing w:after="0"/>
            </w:pPr>
            <w:r>
              <w:rPr>
                <w:sz w:val="15"/>
              </w:rPr>
              <w:t>Performance instable et difficile à généraliser.</w:t>
            </w:r>
          </w:p>
        </w:tc>
      </w:tr>
      <w:tr>
        <w:tc>
          <w:tcPr>
            <w:tcW w:type="dxa" w:w="964"/>
            <w:shd w:fill="EAF2F8"/>
            <w:vAlign w:val="top"/>
          </w:tcPr>
          <w:p>
            <w:pPr>
              <w:spacing w:after="0"/>
            </w:pPr>
            <w:r>
              <w:rPr>
                <w:sz w:val="15"/>
              </w:rPr>
              <w:t>Élevée</w:t>
            </w:r>
          </w:p>
        </w:tc>
        <w:tc>
          <w:tcPr>
            <w:tcW w:type="dxa" w:w="1247"/>
            <w:shd w:fill="EAF2F8"/>
            <w:vAlign w:val="top"/>
          </w:tcPr>
          <w:p>
            <w:pPr>
              <w:spacing w:after="0"/>
            </w:pPr>
            <w:r>
              <w:rPr>
                <w:sz w:val="15"/>
              </w:rPr>
              <w:t>nlp</w:t>
            </w:r>
          </w:p>
        </w:tc>
        <w:tc>
          <w:tcPr>
            <w:tcW w:type="dxa" w:w="3515"/>
            <w:shd w:fill="EAF2F8"/>
            <w:vAlign w:val="top"/>
          </w:tcPr>
          <w:p>
            <w:pPr>
              <w:spacing w:after="0"/>
            </w:pPr>
            <w:r>
              <w:rPr>
                <w:sz w:val="15"/>
              </w:rPr>
              <w:t>Naive Bayes évalué sur 100 lignes seulement.</w:t>
            </w:r>
          </w:p>
        </w:tc>
        <w:tc>
          <w:tcPr>
            <w:tcW w:type="dxa" w:w="3628"/>
            <w:shd w:fill="EAF2F8"/>
            <w:vAlign w:val="top"/>
          </w:tcPr>
          <w:p>
            <w:pPr>
              <w:spacing w:after="0"/>
            </w:pPr>
            <w:r>
              <w:rPr>
                <w:sz w:val="15"/>
              </w:rPr>
              <w:t>Comparaison non équitable avec les méthodes évaluées sur 1 000 lignes.</w:t>
            </w:r>
          </w:p>
        </w:tc>
      </w:tr>
      <w:tr>
        <w:tc>
          <w:tcPr>
            <w:tcW w:type="dxa" w:w="964"/>
            <w:vAlign w:val="top"/>
          </w:tcPr>
          <w:p>
            <w:pPr>
              <w:spacing w:after="0"/>
            </w:pPr>
            <w:r>
              <w:rPr>
                <w:sz w:val="15"/>
              </w:rPr>
              <w:t>Élevée</w:t>
            </w:r>
          </w:p>
        </w:tc>
        <w:tc>
          <w:tcPr>
            <w:tcW w:type="dxa" w:w="1247"/>
            <w:vAlign w:val="top"/>
          </w:tcPr>
          <w:p>
            <w:pPr>
              <w:spacing w:after="0"/>
            </w:pPr>
            <w:r>
              <w:rPr>
                <w:sz w:val="15"/>
              </w:rPr>
              <w:t>nlp</w:t>
            </w:r>
          </w:p>
        </w:tc>
        <w:tc>
          <w:tcPr>
            <w:tcW w:type="dxa" w:w="3515"/>
            <w:vAlign w:val="top"/>
          </w:tcPr>
          <w:p>
            <w:pPr>
              <w:spacing w:after="0"/>
            </w:pPr>
            <w:r>
              <w:rPr>
                <w:sz w:val="15"/>
              </w:rPr>
              <w:t>Exercice français analysant le chemin du fichier.</w:t>
            </w:r>
          </w:p>
        </w:tc>
        <w:tc>
          <w:tcPr>
            <w:tcW w:type="dxa" w:w="3628"/>
            <w:vAlign w:val="top"/>
          </w:tcPr>
          <w:p>
            <w:pPr>
              <w:spacing w:after="0"/>
            </w:pPr>
            <w:r>
              <w:rPr>
                <w:sz w:val="15"/>
              </w:rPr>
              <w:t>Résultats sans valeur sémantique.</w:t>
            </w:r>
          </w:p>
        </w:tc>
      </w:tr>
      <w:tr>
        <w:tc>
          <w:tcPr>
            <w:tcW w:type="dxa" w:w="964"/>
            <w:shd w:fill="EAF2F8"/>
            <w:vAlign w:val="top"/>
          </w:tcPr>
          <w:p>
            <w:pPr>
              <w:spacing w:after="0"/>
            </w:pPr>
            <w:r>
              <w:rPr>
                <w:sz w:val="15"/>
              </w:rPr>
              <w:t>Élevée</w:t>
            </w:r>
          </w:p>
        </w:tc>
        <w:tc>
          <w:tcPr>
            <w:tcW w:type="dxa" w:w="1247"/>
            <w:shd w:fill="EAF2F8"/>
            <w:vAlign w:val="top"/>
          </w:tcPr>
          <w:p>
            <w:pPr>
              <w:spacing w:after="0"/>
            </w:pPr>
            <w:r>
              <w:rPr>
                <w:sz w:val="15"/>
              </w:rPr>
              <w:t>Gradio</w:t>
            </w:r>
          </w:p>
        </w:tc>
        <w:tc>
          <w:tcPr>
            <w:tcW w:type="dxa" w:w="3515"/>
            <w:shd w:fill="EAF2F8"/>
            <w:vAlign w:val="top"/>
          </w:tcPr>
          <w:p>
            <w:pPr>
              <w:spacing w:after="0"/>
            </w:pPr>
            <w:r>
              <w:rPr>
                <w:sz w:val="15"/>
              </w:rPr>
              <w:t>Modèles aux labels différents présentés comme comparables.</w:t>
            </w:r>
          </w:p>
        </w:tc>
        <w:tc>
          <w:tcPr>
            <w:tcW w:type="dxa" w:w="3628"/>
            <w:shd w:fill="EAF2F8"/>
            <w:vAlign w:val="top"/>
          </w:tcPr>
          <w:p>
            <w:pPr>
              <w:spacing w:after="0"/>
            </w:pPr>
            <w:r>
              <w:rPr>
                <w:sz w:val="15"/>
              </w:rPr>
              <w:t>Interprétation confuse pour l’utilisateur.</w:t>
            </w:r>
          </w:p>
        </w:tc>
      </w:tr>
      <w:tr>
        <w:tc>
          <w:tcPr>
            <w:tcW w:type="dxa" w:w="964"/>
            <w:vAlign w:val="top"/>
          </w:tcPr>
          <w:p>
            <w:pPr>
              <w:spacing w:after="0"/>
            </w:pPr>
            <w:r>
              <w:rPr>
                <w:sz w:val="15"/>
              </w:rPr>
              <w:t>Moyenne</w:t>
            </w:r>
          </w:p>
        </w:tc>
        <w:tc>
          <w:tcPr>
            <w:tcW w:type="dxa" w:w="1247"/>
            <w:vAlign w:val="top"/>
          </w:tcPr>
          <w:p>
            <w:pPr>
              <w:spacing w:after="0"/>
            </w:pPr>
            <w:r>
              <w:rPr>
                <w:sz w:val="15"/>
              </w:rPr>
              <w:t>nlp</w:t>
            </w:r>
          </w:p>
        </w:tc>
        <w:tc>
          <w:tcPr>
            <w:tcW w:type="dxa" w:w="3515"/>
            <w:vAlign w:val="top"/>
          </w:tcPr>
          <w:p>
            <w:pPr>
              <w:spacing w:after="0"/>
            </w:pPr>
            <w:r>
              <w:rPr>
                <w:sz w:val="15"/>
              </w:rPr>
              <w:t>compound &gt;= 0 classé positif.</w:t>
            </w:r>
          </w:p>
        </w:tc>
        <w:tc>
          <w:tcPr>
            <w:tcW w:type="dxa" w:w="3628"/>
            <w:vAlign w:val="top"/>
          </w:tcPr>
          <w:p>
            <w:pPr>
              <w:spacing w:after="0"/>
            </w:pPr>
            <w:r>
              <w:rPr>
                <w:sz w:val="15"/>
              </w:rPr>
              <w:t>Les textes neutres augmentent artificiellement la classe positive.</w:t>
            </w:r>
          </w:p>
        </w:tc>
      </w:tr>
      <w:tr>
        <w:tc>
          <w:tcPr>
            <w:tcW w:type="dxa" w:w="964"/>
            <w:shd w:fill="EAF2F8"/>
            <w:vAlign w:val="top"/>
          </w:tcPr>
          <w:p>
            <w:pPr>
              <w:spacing w:after="0"/>
            </w:pPr>
            <w:r>
              <w:rPr>
                <w:sz w:val="15"/>
              </w:rPr>
              <w:t>Moyenne</w:t>
            </w:r>
          </w:p>
        </w:tc>
        <w:tc>
          <w:tcPr>
            <w:tcW w:type="dxa" w:w="1247"/>
            <w:shd w:fill="EAF2F8"/>
            <w:vAlign w:val="top"/>
          </w:tcPr>
          <w:p>
            <w:pPr>
              <w:spacing w:after="0"/>
            </w:pPr>
            <w:r>
              <w:rPr>
                <w:sz w:val="15"/>
              </w:rPr>
              <w:t>nlp</w:t>
            </w:r>
          </w:p>
        </w:tc>
        <w:tc>
          <w:tcPr>
            <w:tcW w:type="dxa" w:w="3515"/>
            <w:shd w:fill="EAF2F8"/>
            <w:vAlign w:val="top"/>
          </w:tcPr>
          <w:p>
            <w:pPr>
              <w:spacing w:after="0"/>
            </w:pPr>
            <w:r>
              <w:rPr>
                <w:sz w:val="15"/>
              </w:rPr>
              <w:t>Flair est appelé deux fois par avis.</w:t>
            </w:r>
          </w:p>
        </w:tc>
        <w:tc>
          <w:tcPr>
            <w:tcW w:type="dxa" w:w="3628"/>
            <w:shd w:fill="EAF2F8"/>
            <w:vAlign w:val="top"/>
          </w:tcPr>
          <w:p>
            <w:pPr>
              <w:spacing w:after="0"/>
            </w:pPr>
            <w:r>
              <w:rPr>
                <w:sz w:val="15"/>
              </w:rPr>
              <w:t>Temps d’inférence approximativement doublé.</w:t>
            </w:r>
          </w:p>
        </w:tc>
      </w:tr>
      <w:tr>
        <w:tc>
          <w:tcPr>
            <w:tcW w:type="dxa" w:w="964"/>
            <w:vAlign w:val="top"/>
          </w:tcPr>
          <w:p>
            <w:pPr>
              <w:spacing w:after="0"/>
            </w:pPr>
            <w:r>
              <w:rPr>
                <w:sz w:val="15"/>
              </w:rPr>
              <w:t>Moyenne</w:t>
            </w:r>
          </w:p>
        </w:tc>
        <w:tc>
          <w:tcPr>
            <w:tcW w:type="dxa" w:w="1247"/>
            <w:vAlign w:val="top"/>
          </w:tcPr>
          <w:p>
            <w:pPr>
              <w:spacing w:after="0"/>
            </w:pPr>
            <w:r>
              <w:rPr>
                <w:sz w:val="15"/>
              </w:rPr>
              <w:t>SetFit</w:t>
            </w:r>
          </w:p>
        </w:tc>
        <w:tc>
          <w:tcPr>
            <w:tcW w:type="dxa" w:w="3515"/>
            <w:vAlign w:val="top"/>
          </w:tcPr>
          <w:p>
            <w:pPr>
              <w:spacing w:after="0"/>
            </w:pPr>
            <w:r>
              <w:rPr>
                <w:sz w:val="15"/>
              </w:rPr>
              <w:t>Chemins Windows et /content mélangés.</w:t>
            </w:r>
          </w:p>
        </w:tc>
        <w:tc>
          <w:tcPr>
            <w:tcW w:type="dxa" w:w="3628"/>
            <w:vAlign w:val="top"/>
          </w:tcPr>
          <w:p>
            <w:pPr>
              <w:spacing w:after="0"/>
            </w:pPr>
            <w:r>
              <w:rPr>
                <w:sz w:val="15"/>
              </w:rPr>
              <w:t>Notebook non portable.</w:t>
            </w:r>
          </w:p>
        </w:tc>
      </w:tr>
      <w:tr>
        <w:tc>
          <w:tcPr>
            <w:tcW w:type="dxa" w:w="964"/>
            <w:shd w:fill="EAF2F8"/>
            <w:vAlign w:val="top"/>
          </w:tcPr>
          <w:p>
            <w:pPr>
              <w:spacing w:after="0"/>
            </w:pPr>
            <w:r>
              <w:rPr>
                <w:sz w:val="15"/>
              </w:rPr>
              <w:t>Moyenne</w:t>
            </w:r>
          </w:p>
        </w:tc>
        <w:tc>
          <w:tcPr>
            <w:tcW w:type="dxa" w:w="1247"/>
            <w:shd w:fill="EAF2F8"/>
            <w:vAlign w:val="top"/>
          </w:tcPr>
          <w:p>
            <w:pPr>
              <w:spacing w:after="0"/>
            </w:pPr>
            <w:r>
              <w:rPr>
                <w:sz w:val="15"/>
              </w:rPr>
              <w:t>Gradio</w:t>
            </w:r>
          </w:p>
        </w:tc>
        <w:tc>
          <w:tcPr>
            <w:tcW w:type="dxa" w:w="3515"/>
            <w:shd w:fill="EAF2F8"/>
            <w:vAlign w:val="top"/>
          </w:tcPr>
          <w:p>
            <w:pPr>
              <w:spacing w:after="0"/>
            </w:pPr>
            <w:r>
              <w:rPr>
                <w:sz w:val="15"/>
              </w:rPr>
              <w:t>Architecture Tabs non conforme à Gradio 6.</w:t>
            </w:r>
          </w:p>
        </w:tc>
        <w:tc>
          <w:tcPr>
            <w:tcW w:type="dxa" w:w="3628"/>
            <w:shd w:fill="EAF2F8"/>
            <w:vAlign w:val="top"/>
          </w:tcPr>
          <w:p>
            <w:pPr>
              <w:spacing w:after="0"/>
            </w:pPr>
            <w:r>
              <w:rPr>
                <w:sz w:val="15"/>
              </w:rPr>
              <w:t>Avertissements et risque de comportement futur incorrect.</w:t>
            </w:r>
          </w:p>
        </w:tc>
      </w:tr>
      <w:tr>
        <w:tc>
          <w:tcPr>
            <w:tcW w:type="dxa" w:w="964"/>
            <w:vAlign w:val="top"/>
          </w:tcPr>
          <w:p>
            <w:pPr>
              <w:spacing w:after="0"/>
            </w:pPr>
            <w:r>
              <w:rPr>
                <w:sz w:val="15"/>
              </w:rPr>
              <w:t>Moyenne</w:t>
            </w:r>
          </w:p>
        </w:tc>
        <w:tc>
          <w:tcPr>
            <w:tcW w:type="dxa" w:w="1247"/>
            <w:vAlign w:val="top"/>
          </w:tcPr>
          <w:p>
            <w:pPr>
              <w:spacing w:after="0"/>
            </w:pPr>
            <w:r>
              <w:rPr>
                <w:sz w:val="15"/>
              </w:rPr>
              <w:t>Tous</w:t>
            </w:r>
          </w:p>
        </w:tc>
        <w:tc>
          <w:tcPr>
            <w:tcW w:type="dxa" w:w="3515"/>
            <w:vAlign w:val="top"/>
          </w:tcPr>
          <w:p>
            <w:pPr>
              <w:spacing w:after="0"/>
            </w:pPr>
            <w:r>
              <w:rPr>
                <w:sz w:val="15"/>
              </w:rPr>
              <w:t>Versions et environnement insuffisamment figés.</w:t>
            </w:r>
          </w:p>
        </w:tc>
        <w:tc>
          <w:tcPr>
            <w:tcW w:type="dxa" w:w="3628"/>
            <w:vAlign w:val="top"/>
          </w:tcPr>
          <w:p>
            <w:pPr>
              <w:spacing w:after="0"/>
            </w:pPr>
            <w:r>
              <w:rPr>
                <w:sz w:val="15"/>
              </w:rPr>
              <w:t>Reproduction difficile.</w:t>
            </w:r>
          </w:p>
        </w:tc>
      </w:tr>
      <w:tr>
        <w:tc>
          <w:tcPr>
            <w:tcW w:type="dxa" w:w="964"/>
            <w:shd w:fill="EAF2F8"/>
            <w:vAlign w:val="top"/>
          </w:tcPr>
          <w:p>
            <w:pPr>
              <w:spacing w:after="0"/>
            </w:pPr>
            <w:r>
              <w:rPr>
                <w:sz w:val="15"/>
              </w:rPr>
              <w:t>Faible</w:t>
            </w:r>
          </w:p>
        </w:tc>
        <w:tc>
          <w:tcPr>
            <w:tcW w:type="dxa" w:w="1247"/>
            <w:shd w:fill="EAF2F8"/>
            <w:vAlign w:val="top"/>
          </w:tcPr>
          <w:p>
            <w:pPr>
              <w:spacing w:after="0"/>
            </w:pPr>
            <w:r>
              <w:rPr>
                <w:sz w:val="15"/>
              </w:rPr>
              <w:t>nlp</w:t>
            </w:r>
          </w:p>
        </w:tc>
        <w:tc>
          <w:tcPr>
            <w:tcW w:type="dxa" w:w="3515"/>
            <w:shd w:fill="EAF2F8"/>
            <w:vAlign w:val="top"/>
          </w:tcPr>
          <w:p>
            <w:pPr>
              <w:spacing w:after="0"/>
            </w:pPr>
            <w:r>
              <w:rPr>
                <w:sz w:val="15"/>
              </w:rPr>
              <w:t>Texte Markdown VADER 76,8 % contre sortie 75,8 %.</w:t>
            </w:r>
          </w:p>
        </w:tc>
        <w:tc>
          <w:tcPr>
            <w:tcW w:type="dxa" w:w="3628"/>
            <w:shd w:fill="EAF2F8"/>
            <w:vAlign w:val="top"/>
          </w:tcPr>
          <w:p>
            <w:pPr>
              <w:spacing w:after="0"/>
            </w:pPr>
            <w:r>
              <w:rPr>
                <w:sz w:val="15"/>
              </w:rPr>
              <w:t>Incohérence documentaire.</w:t>
            </w:r>
          </w:p>
        </w:tc>
      </w:tr>
    </w:tbl>
    <w:p>
      <w:pPr>
        <w:spacing w:after="20"/>
      </w:pPr>
    </w:p>
    <w:p>
      <w:pPr>
        <w:pStyle w:val="Heading1"/>
        <w:keepNext/>
      </w:pPr>
      <w:r>
        <w:t>9. Recommandations prioritaires</w:t>
      </w:r>
    </w:p>
    <w:p>
      <w:pPr>
        <w:pStyle w:val="Heading2"/>
        <w:keepNext/>
      </w:pPr>
      <w:r>
        <w:t>9.1. Rendre les expériences reproductibles</w:t>
      </w:r>
    </w:p>
    <w:p>
      <w:pPr>
        <w:spacing w:after="80"/>
        <w:ind w:left="369" w:hanging="369"/>
      </w:pPr>
      <w:r>
        <w:rPr>
          <w:b/>
        </w:rPr>
        <w:t xml:space="preserve">1. </w:t>
      </w:r>
      <w:r>
        <w:t>Créer un environnement virtuel dédié et un fichier requirements.txt ou pyproject.toml avec versions testées.</w:t>
      </w:r>
    </w:p>
    <w:p>
      <w:pPr>
        <w:spacing w:after="80"/>
        <w:ind w:left="369" w:hanging="369"/>
      </w:pPr>
      <w:r>
        <w:rPr>
          <w:b/>
        </w:rPr>
        <w:t xml:space="preserve">2. </w:t>
      </w:r>
      <w:r>
        <w:t>Retirer les installations pip répétées des notebooks ou les regrouper dans une cellule unique clairement documentée.</w:t>
      </w:r>
    </w:p>
    <w:p>
      <w:pPr>
        <w:spacing w:after="80"/>
        <w:ind w:left="369" w:hanging="369"/>
      </w:pPr>
      <w:r>
        <w:rPr>
          <w:b/>
        </w:rPr>
        <w:t xml:space="preserve">3. </w:t>
      </w:r>
      <w:r>
        <w:t>Utiliser pathlib et des chemins relatifs à la racine du projet ; ne pas mélanger Windows et /content.</w:t>
      </w:r>
    </w:p>
    <w:p>
      <w:pPr>
        <w:spacing w:after="80"/>
        <w:ind w:left="369" w:hanging="369"/>
      </w:pPr>
      <w:r>
        <w:rPr>
          <w:b/>
        </w:rPr>
        <w:t xml:space="preserve">4. </w:t>
      </w:r>
      <w:r>
        <w:t>Ajouter les graines aléatoires pour Python, NumPy, scikit-learn et PyTorch.</w:t>
      </w:r>
    </w:p>
    <w:p>
      <w:pPr>
        <w:spacing w:after="80"/>
        <w:ind w:left="369" w:hanging="369"/>
      </w:pPr>
      <w:r>
        <w:rPr>
          <w:b/>
        </w:rPr>
        <w:t xml:space="preserve">5. </w:t>
      </w:r>
      <w:r>
        <w:t>Enregistrer les versions des bibliothèques, le modèle exact, la date et le dispositif CPU/GPU.</w:t>
      </w:r>
    </w:p>
    <w:p>
      <w:pPr>
        <w:pStyle w:val="Heading2"/>
        <w:keepNext/>
      </w:pPr>
      <w:r>
        <w:t>9.2. Renforcer l’analyse exploratoire</w:t>
      </w:r>
    </w:p>
    <w:p>
      <w:pPr>
        <w:pStyle w:val="ListBullet"/>
        <w:spacing w:after="60"/>
      </w:pPr>
      <w:r>
        <w:t>Compter les valeurs manquantes, doublons et lignes rejetées.</w:t>
      </w:r>
    </w:p>
    <w:p>
      <w:pPr>
        <w:pStyle w:val="ListBullet"/>
        <w:spacing w:after="60"/>
      </w:pPr>
      <w:r>
        <w:t>Tracer la distribution des longueurs en caractères, mots et tokens.</w:t>
      </w:r>
    </w:p>
    <w:p>
      <w:pPr>
        <w:pStyle w:val="ListBullet"/>
        <w:spacing w:after="60"/>
      </w:pPr>
      <w:r>
        <w:t>Vérifier les langues et l’adéquation entre langue du corpus et langue du modèle.</w:t>
      </w:r>
    </w:p>
    <w:p>
      <w:pPr>
        <w:pStyle w:val="ListBullet"/>
        <w:spacing w:after="60"/>
      </w:pPr>
      <w:r>
        <w:t>Afficher les mots et n-grammes les plus fréquents par classe après un nettoyage contrôlé.</w:t>
      </w:r>
    </w:p>
    <w:p>
      <w:pPr>
        <w:pStyle w:val="ListBullet"/>
        <w:spacing w:after="60"/>
      </w:pPr>
      <w:r>
        <w:t>Identifier les textes trop courts, trop longs, vides ou contradictoires.</w:t>
      </w:r>
    </w:p>
    <w:p>
      <w:pPr>
        <w:pStyle w:val="ListBullet"/>
        <w:spacing w:after="60"/>
      </w:pPr>
      <w:r>
        <w:t>Comparer les auteurs et la répartition des labels dans le corpus de tweets afin de détecter un biais par célébrité.</w:t>
      </w:r>
    </w:p>
    <w:p>
      <w:pPr>
        <w:pStyle w:val="Heading2"/>
        <w:keepNext/>
      </w:pPr>
      <w:r>
        <w:t>9.3. Standardiser l’évaluation</w:t>
      </w:r>
    </w:p>
    <w:p>
      <w:pPr>
        <w:spacing w:after="80"/>
        <w:ind w:left="369" w:hanging="369"/>
      </w:pPr>
      <w:r>
        <w:rPr>
          <w:b/>
        </w:rPr>
        <w:t xml:space="preserve">1. </w:t>
      </w:r>
      <w:r>
        <w:t>Évaluer toutes les méthodes de sentiment sur exactement les mêmes 1 000 avis.</w:t>
      </w:r>
    </w:p>
    <w:p>
      <w:pPr>
        <w:spacing w:after="80"/>
        <w:ind w:left="369" w:hanging="369"/>
      </w:pPr>
      <w:r>
        <w:rPr>
          <w:b/>
        </w:rPr>
        <w:t xml:space="preserve">2. </w:t>
      </w:r>
      <w:r>
        <w:t>Ajouter une matrice de confusion et un rapport classification_report par classe.</w:t>
      </w:r>
    </w:p>
    <w:p>
      <w:pPr>
        <w:spacing w:after="80"/>
        <w:ind w:left="369" w:hanging="369"/>
      </w:pPr>
      <w:r>
        <w:rPr>
          <w:b/>
        </w:rPr>
        <w:t xml:space="preserve">3. </w:t>
      </w:r>
      <w:r>
        <w:t>Tester plusieurs seuils pour TextBlob et VADER, avec une vraie classe neutre si le besoin le justifie.</w:t>
      </w:r>
    </w:p>
    <w:p>
      <w:pPr>
        <w:spacing w:after="80"/>
        <w:ind w:left="369" w:hanging="369"/>
      </w:pPr>
      <w:r>
        <w:rPr>
          <w:b/>
        </w:rPr>
        <w:t xml:space="preserve">4. </w:t>
      </w:r>
      <w:r>
        <w:t>Mesurer le temps d’inférence moyen et la mémoire consommée.</w:t>
      </w:r>
    </w:p>
    <w:p>
      <w:pPr>
        <w:spacing w:after="80"/>
        <w:ind w:left="369" w:hanging="369"/>
      </w:pPr>
      <w:r>
        <w:rPr>
          <w:b/>
        </w:rPr>
        <w:t xml:space="preserve">5. </w:t>
      </w:r>
      <w:r>
        <w:t>Pour SetFit, répéter plusieurs tirages stratifiés de huit, seize et trente-deux exemples par classe et reporter moyenne et écart-type.</w:t>
      </w:r>
    </w:p>
    <w:p>
      <w:pPr>
        <w:spacing w:after="80"/>
        <w:ind w:left="369" w:hanging="369"/>
      </w:pPr>
      <w:r>
        <w:rPr>
          <w:b/>
        </w:rPr>
        <w:t xml:space="preserve">6. </w:t>
      </w:r>
      <w:r>
        <w:t>Conserver un jeu de test final qui ne sert ni à l’entraînement ni à la sélection du meilleur checkpoint.</w:t>
      </w:r>
    </w:p>
    <w:p>
      <w:pPr>
        <w:pStyle w:val="Heading2"/>
        <w:keepNext/>
      </w:pPr>
      <w:r>
        <w:t>9.4. Corriger et optimiser le code</w:t>
      </w:r>
    </w:p>
    <w:p>
      <w:pPr>
        <w:spacing w:after="120" w:line="259" w:lineRule="auto"/>
      </w:pPr>
      <w:r>
        <w:t>Flair doit être appelé une seule fois par avis. La fonction peut renvoyer simultanément le score et le label, puis les deux colonnes sont créées à partir du même résultat.</w:t>
      </w:r>
    </w:p>
    <w:p>
      <w:pPr>
        <w:pStyle w:val="Code"/>
        <w:spacing w:before="80" w:after="140"/>
        <w:ind w:left="283" w:right="283"/>
        <w:shd w:fill="F3F4F6"/>
      </w:pPr>
      <w:r>
        <w:rPr>
          <w:rFonts w:ascii="Consolas" w:hAnsi="Consolas" w:eastAsia="Consolas"/>
          <w:sz w:val="16"/>
        </w:rPr>
        <w:t>def score_flair(text):</w:t>
        <w:br/>
      </w:r>
      <w:r>
        <w:rPr>
          <w:rFonts w:ascii="Consolas" w:hAnsi="Consolas" w:eastAsia="Consolas"/>
          <w:sz w:val="16"/>
        </w:rPr>
        <w:t xml:space="preserve">    sentence = Sentence(text)</w:t>
        <w:br/>
      </w:r>
      <w:r>
        <w:rPr>
          <w:rFonts w:ascii="Consolas" w:hAnsi="Consolas" w:eastAsia="Consolas"/>
          <w:sz w:val="16"/>
        </w:rPr>
        <w:t xml:space="preserve">    classifier.predict(sentence)</w:t>
        <w:br/>
      </w:r>
      <w:r>
        <w:rPr>
          <w:rFonts w:ascii="Consolas" w:hAnsi="Consolas" w:eastAsia="Consolas"/>
          <w:sz w:val="16"/>
        </w:rPr>
        <w:t xml:space="preserve">    label = sentence.labels[0]</w:t>
        <w:br/>
      </w:r>
      <w:r>
        <w:rPr>
          <w:rFonts w:ascii="Consolas" w:hAnsi="Consolas" w:eastAsia="Consolas"/>
          <w:sz w:val="16"/>
        </w:rPr>
        <w:t xml:space="preserve">    return label.score, label.value</w:t>
        <w:br/>
      </w:r>
      <w:r>
        <w:rPr>
          <w:rFonts w:ascii="Consolas" w:hAnsi="Consolas" w:eastAsia="Consolas"/>
          <w:sz w:val="16"/>
        </w:rPr>
        <w:br/>
      </w:r>
      <w:r>
        <w:rPr>
          <w:rFonts w:ascii="Consolas" w:hAnsi="Consolas" w:eastAsia="Consolas"/>
          <w:sz w:val="16"/>
        </w:rPr>
        <w:t>amz_review[['scores_flair', 'pred_flair']] = (</w:t>
        <w:br/>
      </w:r>
      <w:r>
        <w:rPr>
          <w:rFonts w:ascii="Consolas" w:hAnsi="Consolas" w:eastAsia="Consolas"/>
          <w:sz w:val="16"/>
        </w:rPr>
        <w:t xml:space="preserve">    amz_review['review'].apply(score_flair).apply(pd.Series)</w:t>
        <w:br/>
      </w:r>
      <w:r>
        <w:rPr>
          <w:rFonts w:ascii="Consolas" w:hAnsi="Consolas" w:eastAsia="Consolas"/>
          <w:sz w:val="16"/>
        </w:rPr>
        <w:t>)</w:t>
        <w:br/>
      </w:r>
    </w:p>
    <w:p>
      <w:pPr>
        <w:spacing w:after="120" w:line="259" w:lineRule="auto"/>
      </w:pPr>
      <w:r>
        <w:t>Le chargement du CSV SetFit doit produire un journal des lignes invalides plutôt que les ignorer silencieusement. Il faut également compter les valeurs de is_real non reconnues avant de les supprimer.</w:t>
      </w:r>
    </w:p>
    <w:p>
      <w:pPr>
        <w:pStyle w:val="Code"/>
        <w:spacing w:before="80" w:after="140"/>
        <w:ind w:left="283" w:right="283"/>
        <w:shd w:fill="F3F4F6"/>
      </w:pPr>
      <w:r>
        <w:rPr>
          <w:rFonts w:ascii="Consolas" w:hAnsi="Consolas" w:eastAsia="Consolas"/>
          <w:sz w:val="16"/>
        </w:rPr>
        <w:t>raw = pd.read_csv(file_path, dtype=str, keep_default_na=False)</w:t>
        <w:br/>
      </w:r>
      <w:r>
        <w:rPr>
          <w:rFonts w:ascii="Consolas" w:hAnsi="Consolas" w:eastAsia="Consolas"/>
          <w:sz w:val="16"/>
        </w:rPr>
        <w:t>raw['label_norm'] = raw['is_real'].str.strip().str.upper()</w:t>
        <w:br/>
      </w:r>
      <w:r>
        <w:rPr>
          <w:rFonts w:ascii="Consolas" w:hAnsi="Consolas" w:eastAsia="Consolas"/>
          <w:sz w:val="16"/>
        </w:rPr>
        <w:t>invalid = raw[~raw['label_norm'].isin(['TRUE', 'FALSE', '1', '0'])]</w:t>
        <w:br/>
      </w:r>
      <w:r>
        <w:rPr>
          <w:rFonts w:ascii="Consolas" w:hAnsi="Consolas" w:eastAsia="Consolas"/>
          <w:sz w:val="16"/>
        </w:rPr>
        <w:t>print('Lignes à corriger :', len(invalid))</w:t>
        <w:br/>
      </w:r>
    </w:p>
    <w:p>
      <w:pPr>
        <w:pStyle w:val="Heading2"/>
        <w:keepNext/>
      </w:pPr>
      <w:r>
        <w:t>9.5. Améliorer l’application Gradio</w:t>
      </w:r>
    </w:p>
    <w:p>
      <w:pPr>
        <w:pStyle w:val="ListBullet"/>
        <w:spacing w:after="60"/>
      </w:pPr>
      <w:r>
        <w:t>Placer chaque composant gr.Examples dans l’onglet auquel il appartient.</w:t>
      </w:r>
    </w:p>
    <w:p>
      <w:pPr>
        <w:pStyle w:val="ListBullet"/>
        <w:spacing w:after="60"/>
      </w:pPr>
      <w:r>
        <w:t>Donner des noms fonctionnels aux variables : binary_text_input, emotion_text_input, etc.</w:t>
      </w:r>
    </w:p>
    <w:p>
      <w:pPr>
        <w:pStyle w:val="ListBullet"/>
        <w:spacing w:after="60"/>
      </w:pPr>
      <w:r>
        <w:t>Renommer les modèles selon leur tâche réelle : binaire, trois sentiments, cinq étoiles, émotions.</w:t>
      </w:r>
    </w:p>
    <w:p>
      <w:pPr>
        <w:pStyle w:val="ListBullet"/>
        <w:spacing w:after="60"/>
      </w:pPr>
      <w:r>
        <w:t>Afficher une légende expliquant chaque label et normaliser les sorties lorsque la comparaison le permet.</w:t>
      </w:r>
    </w:p>
    <w:p>
      <w:pPr>
        <w:pStyle w:val="ListBullet"/>
        <w:spacing w:after="60"/>
      </w:pPr>
      <w:r>
        <w:t>Déplacer theme vers demo.launch(theme=...) pour la compatibilité Gradio 6.</w:t>
      </w:r>
    </w:p>
    <w:p>
      <w:pPr>
        <w:pStyle w:val="ListBullet"/>
        <w:spacing w:after="60"/>
      </w:pPr>
      <w:r>
        <w:t>Ajouter un bouton Clear dans chaque onglet et éventuellement un historique désactivable.</w:t>
      </w:r>
    </w:p>
    <w:p>
      <w:pPr>
        <w:pStyle w:val="ListBullet"/>
        <w:spacing w:after="60"/>
      </w:pPr>
      <w:r>
        <w:t>Charger les modèles à la demande ou limiter la sélection pour réduire l’usage mémoire sur CPU.</w:t>
      </w:r>
    </w:p>
    <w:p>
      <w:pPr>
        <w:pStyle w:val="ListBullet"/>
        <w:spacing w:after="60"/>
      </w:pPr>
      <w:r>
        <w:t>Ne pas affirmer l’absence de stockage sans vérifier la configuration des logs, de Gradio et de l’hébergement.</w:t>
      </w:r>
    </w:p>
    <w:p>
      <w:pPr>
        <w:pStyle w:val="Heading1"/>
        <w:keepNext/>
      </w:pPr>
      <w:r>
        <w:t>10. Architecture cible recommandée</w:t>
      </w:r>
    </w:p>
    <w:p>
      <w:pPr>
        <w:spacing w:after="120" w:line="259" w:lineRule="auto"/>
      </w:pPr>
      <w:r>
        <w:t>Une version consolidée du projet pourrait être organisée en quatre modules. Cette séparation rendrait le code plus lisible, testable et déployable.</w:t>
      </w:r>
    </w:p>
    <w:tbl>
      <w:tblPr>
        <w:tblStyle w:val="TableGrid"/>
        <w:tblW w:type="auto" w:w="0"/>
        <w:jc w:val="center"/>
        <w:tblLook w:firstColumn="1" w:firstRow="1" w:lastColumn="0" w:lastRow="0" w:noHBand="0" w:noVBand="1" w:val="04A0"/>
      </w:tblPr>
      <w:tblGrid>
        <w:gridCol w:w="3251"/>
        <w:gridCol w:w="3251"/>
        <w:gridCol w:w="3251"/>
      </w:tblGrid>
      <w:tr>
        <w:trPr>
          <w:tblHeader w:val="true"/>
        </w:trPr>
        <w:tc>
          <w:tcPr>
            <w:tcW w:type="dxa" w:w="3251"/>
            <w:shd w:fill="1F4E78"/>
            <w:vAlign w:val="center"/>
          </w:tcPr>
          <w:p>
            <w:pPr>
              <w:jc w:val="center"/>
            </w:pPr>
            <w:r>
              <w:rPr>
                <w:b/>
                <w:color w:val="FFFFFF"/>
                <w:sz w:val="17"/>
              </w:rPr>
              <w:t>Module</w:t>
            </w:r>
          </w:p>
        </w:tc>
        <w:tc>
          <w:tcPr>
            <w:tcW w:type="dxa" w:w="3251"/>
            <w:shd w:fill="1F4E78"/>
            <w:vAlign w:val="center"/>
          </w:tcPr>
          <w:p>
            <w:pPr>
              <w:jc w:val="center"/>
            </w:pPr>
            <w:r>
              <w:rPr>
                <w:b/>
                <w:color w:val="FFFFFF"/>
                <w:sz w:val="17"/>
              </w:rPr>
              <w:t>Responsabilité</w:t>
            </w:r>
          </w:p>
        </w:tc>
        <w:tc>
          <w:tcPr>
            <w:tcW w:type="dxa" w:w="3251"/>
            <w:shd w:fill="1F4E78"/>
            <w:vAlign w:val="center"/>
          </w:tcPr>
          <w:p>
            <w:pPr>
              <w:jc w:val="center"/>
            </w:pPr>
            <w:r>
              <w:rPr>
                <w:b/>
                <w:color w:val="FFFFFF"/>
                <w:sz w:val="17"/>
              </w:rPr>
              <w:t>Contenu recommandé</w:t>
            </w:r>
          </w:p>
        </w:tc>
      </w:tr>
      <w:tr>
        <w:tc>
          <w:tcPr>
            <w:tcW w:type="dxa" w:w="1701"/>
            <w:vAlign w:val="top"/>
          </w:tcPr>
          <w:p>
            <w:pPr>
              <w:spacing w:after="0"/>
            </w:pPr>
            <w:r>
              <w:rPr>
                <w:sz w:val="17"/>
              </w:rPr>
              <w:t>data.py</w:t>
            </w:r>
          </w:p>
        </w:tc>
        <w:tc>
          <w:tcPr>
            <w:tcW w:type="dxa" w:w="2381"/>
            <w:vAlign w:val="top"/>
          </w:tcPr>
          <w:p>
            <w:pPr>
              <w:spacing w:after="0"/>
            </w:pPr>
            <w:r>
              <w:rPr>
                <w:sz w:val="17"/>
              </w:rPr>
              <w:t>Chargement et validation</w:t>
            </w:r>
          </w:p>
        </w:tc>
        <w:tc>
          <w:tcPr>
            <w:tcW w:type="dxa" w:w="5386"/>
            <w:vAlign w:val="top"/>
          </w:tcPr>
          <w:p>
            <w:pPr>
              <w:spacing w:after="0"/>
            </w:pPr>
            <w:r>
              <w:rPr>
                <w:sz w:val="17"/>
              </w:rPr>
              <w:t>Lecture robuste, schéma, rapport des lignes invalides, statistiques de corpus.</w:t>
            </w:r>
          </w:p>
        </w:tc>
      </w:tr>
      <w:tr>
        <w:tc>
          <w:tcPr>
            <w:tcW w:type="dxa" w:w="1701"/>
            <w:shd w:fill="EAF2F8"/>
            <w:vAlign w:val="top"/>
          </w:tcPr>
          <w:p>
            <w:pPr>
              <w:spacing w:after="0"/>
            </w:pPr>
            <w:r>
              <w:rPr>
                <w:sz w:val="17"/>
              </w:rPr>
              <w:t>models.py</w:t>
            </w:r>
          </w:p>
        </w:tc>
        <w:tc>
          <w:tcPr>
            <w:tcW w:type="dxa" w:w="2381"/>
            <w:shd w:fill="EAF2F8"/>
            <w:vAlign w:val="top"/>
          </w:tcPr>
          <w:p>
            <w:pPr>
              <w:spacing w:after="0"/>
            </w:pPr>
            <w:r>
              <w:rPr>
                <w:sz w:val="17"/>
              </w:rPr>
              <w:t>Modèles et prédictions</w:t>
            </w:r>
          </w:p>
        </w:tc>
        <w:tc>
          <w:tcPr>
            <w:tcW w:type="dxa" w:w="5386"/>
            <w:shd w:fill="EAF2F8"/>
            <w:vAlign w:val="top"/>
          </w:tcPr>
          <w:p>
            <w:pPr>
              <w:spacing w:after="0"/>
            </w:pPr>
            <w:r>
              <w:rPr>
                <w:sz w:val="17"/>
              </w:rPr>
              <w:t>Wrappers TextBlob, VADER, Flair, SetFit et Transformers avec sorties normalisées.</w:t>
            </w:r>
          </w:p>
        </w:tc>
      </w:tr>
      <w:tr>
        <w:tc>
          <w:tcPr>
            <w:tcW w:type="dxa" w:w="1701"/>
            <w:vAlign w:val="top"/>
          </w:tcPr>
          <w:p>
            <w:pPr>
              <w:spacing w:after="0"/>
            </w:pPr>
            <w:r>
              <w:rPr>
                <w:sz w:val="17"/>
              </w:rPr>
              <w:t>evaluation.py</w:t>
            </w:r>
          </w:p>
        </w:tc>
        <w:tc>
          <w:tcPr>
            <w:tcW w:type="dxa" w:w="2381"/>
            <w:vAlign w:val="top"/>
          </w:tcPr>
          <w:p>
            <w:pPr>
              <w:spacing w:after="0"/>
            </w:pPr>
            <w:r>
              <w:rPr>
                <w:sz w:val="17"/>
              </w:rPr>
              <w:t>Benchmark</w:t>
            </w:r>
          </w:p>
        </w:tc>
        <w:tc>
          <w:tcPr>
            <w:tcW w:type="dxa" w:w="5386"/>
            <w:vAlign w:val="top"/>
          </w:tcPr>
          <w:p>
            <w:pPr>
              <w:spacing w:after="0"/>
            </w:pPr>
            <w:r>
              <w:rPr>
                <w:sz w:val="17"/>
              </w:rPr>
              <w:t>Split, métriques, matrices de confusion, temps d’inférence, export CSV/JSON.</w:t>
            </w:r>
          </w:p>
        </w:tc>
      </w:tr>
      <w:tr>
        <w:tc>
          <w:tcPr>
            <w:tcW w:type="dxa" w:w="1701"/>
            <w:shd w:fill="EAF2F8"/>
            <w:vAlign w:val="top"/>
          </w:tcPr>
          <w:p>
            <w:pPr>
              <w:spacing w:after="0"/>
            </w:pPr>
            <w:r>
              <w:rPr>
                <w:sz w:val="17"/>
              </w:rPr>
              <w:t>app.py</w:t>
            </w:r>
          </w:p>
        </w:tc>
        <w:tc>
          <w:tcPr>
            <w:tcW w:type="dxa" w:w="2381"/>
            <w:shd w:fill="EAF2F8"/>
            <w:vAlign w:val="top"/>
          </w:tcPr>
          <w:p>
            <w:pPr>
              <w:spacing w:after="0"/>
            </w:pPr>
            <w:r>
              <w:rPr>
                <w:sz w:val="17"/>
              </w:rPr>
              <w:t>Interface Gradio</w:t>
            </w:r>
          </w:p>
        </w:tc>
        <w:tc>
          <w:tcPr>
            <w:tcW w:type="dxa" w:w="5386"/>
            <w:shd w:fill="EAF2F8"/>
            <w:vAlign w:val="top"/>
          </w:tcPr>
          <w:p>
            <w:pPr>
              <w:spacing w:after="0"/>
            </w:pPr>
            <w:r>
              <w:rPr>
                <w:sz w:val="17"/>
              </w:rPr>
              <w:t>Onglets, callbacks, exemples, documentation et chargement paresseux.</w:t>
            </w:r>
          </w:p>
        </w:tc>
      </w:tr>
    </w:tbl>
    <w:p>
      <w:pPr>
        <w:spacing w:after="20"/>
      </w:pPr>
    </w:p>
    <w:p>
      <w:pPr>
        <w:spacing w:after="120" w:line="259" w:lineRule="auto"/>
      </w:pPr>
      <w:r>
        <w:t>Les notebooks peuvent alors devenir des documents d’expérimentation qui importent ces modules, au lieu de contenir toute la logique, l’installation et l’interface dans les mêmes cellules.</w:t>
      </w:r>
    </w:p>
    <w:p>
      <w:pPr>
        <w:pStyle w:val="Heading1"/>
        <w:keepNext/>
      </w:pPr>
      <w:r>
        <w:t>11. Conclusion</w:t>
      </w:r>
    </w:p>
    <w:p>
      <w:pPr>
        <w:spacing w:after="120" w:line="259" w:lineRule="auto"/>
      </w:pPr>
      <w:r>
        <w:t>Les trois fichiers couvrent un ensemble riche de compétences NLP. nlp.ipynb introduit les méthodes lexicales et neuronales, mesure leurs performances et met en évidence l’avantage de Flair sur un corpus d’avis anglais. SetFit.ipynb aborde une tâche personnalisée avec très peu d’exemples et montre comment adapter un encodeur de phrases à une classification binaire. Le tutoriel Gradio transforme enfin ces fonctions et modèles en outils interactifs accessibles à un utilisateur non développeur.</w:t>
      </w:r>
    </w:p>
    <w:p>
      <w:pPr>
        <w:spacing w:after="120" w:line="259" w:lineRule="auto"/>
      </w:pPr>
      <w:r>
        <w:t>Le principal apport pédagogique est la compréhension du continuum entre une règle explicite, un lexique, un modèle pré-entraîné, un modèle adapté au domaine et une application. Le principal axe de progrès est méthodologique : mieux valider les données, conserver des ensembles indépendants, harmoniser les métriques, analyser les erreurs, documenter les versions et corriger les incohérences de chemins et d’interface.</w:t>
      </w:r>
    </w:p>
    <w:p>
      <w:pPr>
        <w:spacing w:after="120" w:line="259" w:lineRule="auto"/>
      </w:pPr>
      <w:r>
        <w:t>Après ces corrections, le projet pourrait constituer une démonstration complète de pipeline NLP : exploration du corpus, benchmark de baselines, apprentissage few-shot, évaluation rigoureuse, sauvegarde du modèle et interface de démonstration.</w:t>
      </w:r>
    </w:p>
    <w:p>
      <w:pPr>
        <w:pStyle w:val="Heading1"/>
        <w:keepNext/>
      </w:pPr>
      <w:r>
        <w:t>Annexe A — Inventaire synthétique des bibliothèques</w:t>
      </w:r>
    </w:p>
    <w:tbl>
      <w:tblPr>
        <w:tblStyle w:val="TableGrid"/>
        <w:tblW w:type="auto" w:w="0"/>
        <w:jc w:val="center"/>
        <w:tblLook w:firstColumn="1" w:firstRow="1" w:lastColumn="0" w:lastRow="0" w:noHBand="0" w:noVBand="1" w:val="04A0"/>
      </w:tblPr>
      <w:tblGrid>
        <w:gridCol w:w="4876"/>
        <w:gridCol w:w="4876"/>
      </w:tblGrid>
      <w:tr>
        <w:trPr>
          <w:tblHeader w:val="true"/>
        </w:trPr>
        <w:tc>
          <w:tcPr>
            <w:tcW w:type="dxa" w:w="4876"/>
            <w:shd w:fill="1F4E78"/>
            <w:vAlign w:val="center"/>
          </w:tcPr>
          <w:p>
            <w:pPr>
              <w:jc w:val="center"/>
            </w:pPr>
            <w:r>
              <w:rPr>
                <w:b/>
                <w:color w:val="FFFFFF"/>
                <w:sz w:val="17"/>
              </w:rPr>
              <w:t>Bibliothèque</w:t>
            </w:r>
          </w:p>
        </w:tc>
        <w:tc>
          <w:tcPr>
            <w:tcW w:type="dxa" w:w="4876"/>
            <w:shd w:fill="1F4E78"/>
            <w:vAlign w:val="center"/>
          </w:tcPr>
          <w:p>
            <w:pPr>
              <w:jc w:val="center"/>
            </w:pPr>
            <w:r>
              <w:rPr>
                <w:b/>
                <w:color w:val="FFFFFF"/>
                <w:sz w:val="17"/>
              </w:rPr>
              <w:t>Usage observé</w:t>
            </w:r>
          </w:p>
        </w:tc>
      </w:tr>
      <w:tr>
        <w:tc>
          <w:tcPr>
            <w:tcW w:type="dxa" w:w="2835"/>
            <w:vAlign w:val="top"/>
          </w:tcPr>
          <w:p>
            <w:pPr>
              <w:spacing w:after="0"/>
            </w:pPr>
            <w:r>
              <w:rPr>
                <w:sz w:val="17"/>
              </w:rPr>
              <w:t>pandas</w:t>
            </w:r>
          </w:p>
        </w:tc>
        <w:tc>
          <w:tcPr>
            <w:tcW w:type="dxa" w:w="6633"/>
            <w:vAlign w:val="top"/>
          </w:tcPr>
          <w:p>
            <w:pPr>
              <w:spacing w:after="0"/>
            </w:pPr>
            <w:r>
              <w:rPr>
                <w:sz w:val="17"/>
              </w:rPr>
              <w:t>Lecture de fichiers, nettoyage, création de colonnes de scores et prédictions.</w:t>
            </w:r>
          </w:p>
        </w:tc>
      </w:tr>
      <w:tr>
        <w:tc>
          <w:tcPr>
            <w:tcW w:type="dxa" w:w="2835"/>
            <w:shd w:fill="EAF2F8"/>
            <w:vAlign w:val="top"/>
          </w:tcPr>
          <w:p>
            <w:pPr>
              <w:spacing w:after="0"/>
            </w:pPr>
            <w:r>
              <w:rPr>
                <w:sz w:val="17"/>
              </w:rPr>
              <w:t>NumPy</w:t>
            </w:r>
          </w:p>
        </w:tc>
        <w:tc>
          <w:tcPr>
            <w:tcW w:type="dxa" w:w="6633"/>
            <w:shd w:fill="EAF2F8"/>
            <w:vAlign w:val="top"/>
          </w:tcPr>
          <w:p>
            <w:pPr>
              <w:spacing w:after="0"/>
            </w:pPr>
            <w:r>
              <w:rPr>
                <w:sz w:val="17"/>
              </w:rPr>
              <w:t>Conversion de sorties de prédiction et manipulation numérique.</w:t>
            </w:r>
          </w:p>
        </w:tc>
      </w:tr>
      <w:tr>
        <w:tc>
          <w:tcPr>
            <w:tcW w:type="dxa" w:w="2835"/>
            <w:vAlign w:val="top"/>
          </w:tcPr>
          <w:p>
            <w:pPr>
              <w:spacing w:after="0"/>
            </w:pPr>
            <w:r>
              <w:rPr>
                <w:sz w:val="17"/>
              </w:rPr>
              <w:t>TextBlob / NLTK</w:t>
            </w:r>
          </w:p>
        </w:tc>
        <w:tc>
          <w:tcPr>
            <w:tcW w:type="dxa" w:w="6633"/>
            <w:vAlign w:val="top"/>
          </w:tcPr>
          <w:p>
            <w:pPr>
              <w:spacing w:after="0"/>
            </w:pPr>
            <w:r>
              <w:rPr>
                <w:sz w:val="17"/>
              </w:rPr>
              <w:t>Analyse de sentiment lexicale, subjectivité, Naive Bayes et corpus linguistiques.</w:t>
            </w:r>
          </w:p>
        </w:tc>
      </w:tr>
      <w:tr>
        <w:tc>
          <w:tcPr>
            <w:tcW w:type="dxa" w:w="2835"/>
            <w:shd w:fill="EAF2F8"/>
            <w:vAlign w:val="top"/>
          </w:tcPr>
          <w:p>
            <w:pPr>
              <w:spacing w:after="0"/>
            </w:pPr>
            <w:r>
              <w:rPr>
                <w:sz w:val="17"/>
              </w:rPr>
              <w:t>vaderSentiment / nltk.sentiment.vader</w:t>
            </w:r>
          </w:p>
        </w:tc>
        <w:tc>
          <w:tcPr>
            <w:tcW w:type="dxa" w:w="6633"/>
            <w:shd w:fill="EAF2F8"/>
            <w:vAlign w:val="top"/>
          </w:tcPr>
          <w:p>
            <w:pPr>
              <w:spacing w:after="0"/>
            </w:pPr>
            <w:r>
              <w:rPr>
                <w:sz w:val="17"/>
              </w:rPr>
              <w:t>Analyse de sentiment par lexique et règles.</w:t>
            </w:r>
          </w:p>
        </w:tc>
      </w:tr>
      <w:tr>
        <w:tc>
          <w:tcPr>
            <w:tcW w:type="dxa" w:w="2835"/>
            <w:vAlign w:val="top"/>
          </w:tcPr>
          <w:p>
            <w:pPr>
              <w:spacing w:after="0"/>
            </w:pPr>
            <w:r>
              <w:rPr>
                <w:sz w:val="17"/>
              </w:rPr>
              <w:t>Flair / PyTorch</w:t>
            </w:r>
          </w:p>
        </w:tc>
        <w:tc>
          <w:tcPr>
            <w:tcW w:type="dxa" w:w="6633"/>
            <w:vAlign w:val="top"/>
          </w:tcPr>
          <w:p>
            <w:pPr>
              <w:spacing w:after="0"/>
            </w:pPr>
            <w:r>
              <w:rPr>
                <w:sz w:val="17"/>
              </w:rPr>
              <w:t>Modèle neuronal pré-entraîné de sentiment.</w:t>
            </w:r>
          </w:p>
        </w:tc>
      </w:tr>
      <w:tr>
        <w:tc>
          <w:tcPr>
            <w:tcW w:type="dxa" w:w="2835"/>
            <w:shd w:fill="EAF2F8"/>
            <w:vAlign w:val="top"/>
          </w:tcPr>
          <w:p>
            <w:pPr>
              <w:spacing w:after="0"/>
            </w:pPr>
            <w:r>
              <w:rPr>
                <w:sz w:val="17"/>
              </w:rPr>
              <w:t>scikit-learn</w:t>
            </w:r>
          </w:p>
        </w:tc>
        <w:tc>
          <w:tcPr>
            <w:tcW w:type="dxa" w:w="6633"/>
            <w:shd w:fill="EAF2F8"/>
            <w:vAlign w:val="top"/>
          </w:tcPr>
          <w:p>
            <w:pPr>
              <w:spacing w:after="0"/>
            </w:pPr>
            <w:r>
              <w:rPr>
                <w:sz w:val="17"/>
              </w:rPr>
              <w:t>Séparation des données et calcul des métriques.</w:t>
            </w:r>
          </w:p>
        </w:tc>
      </w:tr>
      <w:tr>
        <w:tc>
          <w:tcPr>
            <w:tcW w:type="dxa" w:w="2835"/>
            <w:vAlign w:val="top"/>
          </w:tcPr>
          <w:p>
            <w:pPr>
              <w:spacing w:after="0"/>
            </w:pPr>
            <w:r>
              <w:rPr>
                <w:sz w:val="17"/>
              </w:rPr>
              <w:t>datasets</w:t>
            </w:r>
          </w:p>
        </w:tc>
        <w:tc>
          <w:tcPr>
            <w:tcW w:type="dxa" w:w="6633"/>
            <w:vAlign w:val="top"/>
          </w:tcPr>
          <w:p>
            <w:pPr>
              <w:spacing w:after="0"/>
            </w:pPr>
            <w:r>
              <w:rPr>
                <w:sz w:val="17"/>
              </w:rPr>
              <w:t>Conversion des DataFrames en Dataset Hugging Face.</w:t>
            </w:r>
          </w:p>
        </w:tc>
      </w:tr>
      <w:tr>
        <w:tc>
          <w:tcPr>
            <w:tcW w:type="dxa" w:w="2835"/>
            <w:shd w:fill="EAF2F8"/>
            <w:vAlign w:val="top"/>
          </w:tcPr>
          <w:p>
            <w:pPr>
              <w:spacing w:after="0"/>
            </w:pPr>
            <w:r>
              <w:rPr>
                <w:sz w:val="17"/>
              </w:rPr>
              <w:t>setfit / sentence-transformers</w:t>
            </w:r>
          </w:p>
        </w:tc>
        <w:tc>
          <w:tcPr>
            <w:tcW w:type="dxa" w:w="6633"/>
            <w:shd w:fill="EAF2F8"/>
            <w:vAlign w:val="top"/>
          </w:tcPr>
          <w:p>
            <w:pPr>
              <w:spacing w:after="0"/>
            </w:pPr>
            <w:r>
              <w:rPr>
                <w:sz w:val="17"/>
              </w:rPr>
              <w:t>Apprentissage few-shot sur embeddings de phrases.</w:t>
            </w:r>
          </w:p>
        </w:tc>
      </w:tr>
      <w:tr>
        <w:tc>
          <w:tcPr>
            <w:tcW w:type="dxa" w:w="2835"/>
            <w:vAlign w:val="top"/>
          </w:tcPr>
          <w:p>
            <w:pPr>
              <w:spacing w:after="0"/>
            </w:pPr>
            <w:r>
              <w:rPr>
                <w:sz w:val="17"/>
              </w:rPr>
              <w:t>transformers</w:t>
            </w:r>
          </w:p>
        </w:tc>
        <w:tc>
          <w:tcPr>
            <w:tcW w:type="dxa" w:w="6633"/>
            <w:vAlign w:val="top"/>
          </w:tcPr>
          <w:p>
            <w:pPr>
              <w:spacing w:after="0"/>
            </w:pPr>
            <w:r>
              <w:rPr>
                <w:sz w:val="17"/>
              </w:rPr>
              <w:t>Pipelines de classification de texte pré-entraînés.</w:t>
            </w:r>
          </w:p>
        </w:tc>
      </w:tr>
      <w:tr>
        <w:tc>
          <w:tcPr>
            <w:tcW w:type="dxa" w:w="2835"/>
            <w:shd w:fill="EAF2F8"/>
            <w:vAlign w:val="top"/>
          </w:tcPr>
          <w:p>
            <w:pPr>
              <w:spacing w:after="0"/>
            </w:pPr>
            <w:r>
              <w:rPr>
                <w:sz w:val="17"/>
              </w:rPr>
              <w:t>Gradio</w:t>
            </w:r>
          </w:p>
        </w:tc>
        <w:tc>
          <w:tcPr>
            <w:tcW w:type="dxa" w:w="6633"/>
            <w:shd w:fill="EAF2F8"/>
            <w:vAlign w:val="top"/>
          </w:tcPr>
          <w:p>
            <w:pPr>
              <w:spacing w:after="0"/>
            </w:pPr>
            <w:r>
              <w:rPr>
                <w:sz w:val="17"/>
              </w:rPr>
              <w:t>Interfaces web locales et callbacks.</w:t>
            </w:r>
          </w:p>
        </w:tc>
      </w:tr>
      <w:tr>
        <w:tc>
          <w:tcPr>
            <w:tcW w:type="dxa" w:w="2835"/>
            <w:vAlign w:val="top"/>
          </w:tcPr>
          <w:p>
            <w:pPr>
              <w:spacing w:after="0"/>
            </w:pPr>
            <w:r>
              <w:rPr>
                <w:sz w:val="17"/>
              </w:rPr>
              <w:t>Matplotlib</w:t>
            </w:r>
          </w:p>
        </w:tc>
        <w:tc>
          <w:tcPr>
            <w:tcW w:type="dxa" w:w="6633"/>
            <w:vAlign w:val="top"/>
          </w:tcPr>
          <w:p>
            <w:pPr>
              <w:spacing w:after="0"/>
            </w:pPr>
            <w:r>
              <w:rPr>
                <w:sz w:val="17"/>
              </w:rPr>
              <w:t>Graphique comparatif des métriques.</w:t>
            </w:r>
          </w:p>
        </w:tc>
      </w:tr>
    </w:tbl>
    <w:p>
      <w:pPr>
        <w:spacing w:after="20"/>
      </w:pPr>
    </w:p>
    <w:p>
      <w:pPr>
        <w:pStyle w:val="Heading1"/>
        <w:keepNext/>
      </w:pPr>
      <w:r>
        <w:t>Annexe B — Définitions des métriques</w:t>
      </w:r>
    </w:p>
    <w:p>
      <w:pPr>
        <w:pStyle w:val="ListBullet"/>
        <w:spacing w:after="60"/>
      </w:pPr>
      <w:r>
        <w:t>Exactitude (accuracy) : proportion totale de prédictions correctes.</w:t>
      </w:r>
    </w:p>
    <w:p>
      <w:pPr>
        <w:pStyle w:val="ListBullet"/>
        <w:spacing w:after="60"/>
      </w:pPr>
      <w:r>
        <w:t>Précision : parmi les éléments prédits dans une classe, proportion réellement correcte.</w:t>
      </w:r>
    </w:p>
    <w:p>
      <w:pPr>
        <w:pStyle w:val="ListBullet"/>
        <w:spacing w:after="60"/>
      </w:pPr>
      <w:r>
        <w:t>Rappel : parmi les éléments réellement dans une classe, proportion retrouvée par le modèle.</w:t>
      </w:r>
    </w:p>
    <w:p>
      <w:pPr>
        <w:pStyle w:val="ListBullet"/>
        <w:spacing w:after="60"/>
      </w:pPr>
      <w:r>
        <w:t>F1 : moyenne harmonique de la précision et du rappel.</w:t>
      </w:r>
    </w:p>
    <w:p>
      <w:pPr>
        <w:pStyle w:val="ListBullet"/>
        <w:spacing w:after="60"/>
      </w:pPr>
      <w:r>
        <w:t>Moyenne macro : moyenne simple des scores de chaque classe ; toutes les classes comptent autant.</w:t>
      </w:r>
    </w:p>
    <w:p>
      <w:pPr>
        <w:pStyle w:val="ListBullet"/>
        <w:spacing w:after="60"/>
      </w:pPr>
      <w:r>
        <w:t>Moyenne pondérée : moyenne des scores de chaque classe pondérée par son nombre d’exemples.</w:t>
      </w:r>
    </w:p>
    <w:p>
      <w:pPr>
        <w:pStyle w:val="ListBullet"/>
        <w:spacing w:after="60"/>
      </w:pPr>
      <w:r>
        <w:t>Score de confiance : intensité de la décision interne d’un modèle ; il ne garantit ni la justesse ni la calibration probabiliste.</w:t>
      </w:r>
    </w:p>
    <w:p>
      <w:pPr>
        <w:pStyle w:val="Heading1"/>
        <w:keepNext/>
      </w:pPr>
      <w:r>
        <w:t>Annexe C — Interprétation responsable</w:t>
      </w:r>
    </w:p>
    <w:p>
      <w:pPr>
        <w:spacing w:after="120" w:line="259" w:lineRule="auto"/>
      </w:pPr>
      <w:r>
        <w:t>Les résultats rapportés ne doivent pas être généralisés à toutes les langues ou tous les domaines. Les modèles de sentiment anglais peuvent mal interpréter le français, l’ironie, le sarcasme, les références culturelles et les négations complexes. Les catégories « tweet réel » et « tweet non réel » peuvent également refléter des indices propres aux auteurs ou au style du corpus, plutôt qu’une notion générale d’authenticité.</w:t>
      </w:r>
    </w:p>
    <w:p>
      <w:pPr>
        <w:spacing w:after="120" w:line="259" w:lineRule="auto"/>
      </w:pPr>
      <w:r>
        <w:t>Avant toute utilisation opérationnelle, il convient de définir la finalité, le coût des faux positifs et faux négatifs, la population concernée, la gestion des données personnelles et les procédures de contrôle humain.</w:t>
      </w:r>
    </w:p>
    <w:sectPr w:rsidR="00FC693F" w:rsidRPr="0006063C" w:rsidSect="00034616">
      <w:footerReference w:type="default" r:id="rId9"/>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Rapport d’analyse NLP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intégral d’analyse — NLP, SetFit et Gradio</dc:title>
  <dc:subject>Analyse technique de trois notebooks NLP</dc:subject>
  <dc:creator>OpenAI — préparé pour Joachim Quérule</dc:creator>
  <cp:keywords>NLP, TextBlob, VADER, Flair, SetFit, Gradio, Transformers</cp:keywords>
  <dc:description>generated by python-docx</dc:description>
  <cp:lastModifiedBy/>
  <cp:revision>1</cp:revision>
  <dcterms:created xsi:type="dcterms:W3CDTF">2013-12-23T23:15:00Z</dcterms:created>
  <dcterms:modified xsi:type="dcterms:W3CDTF">2013-12-23T23:15:00Z</dcterms:modified>
  <cp:category/>
</cp:coreProperties>
</file>