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43A5" w14:textId="77777777" w:rsidR="00CC7ECE" w:rsidRPr="00CC7ECE" w:rsidRDefault="00CC7ECE" w:rsidP="00CC7ECE">
      <w:pPr>
        <w:spacing w:after="160" w:line="278" w:lineRule="auto"/>
        <w:jc w:val="left"/>
        <w:rPr>
          <w:rFonts w:eastAsia="Times New Roman"/>
        </w:rPr>
      </w:pPr>
      <w:r w:rsidRPr="00CC7ECE">
        <w:rPr>
          <w:rFonts w:eastAsia="Times New Roman"/>
        </w:rPr>
        <w:t>Hola,</w:t>
      </w:r>
    </w:p>
    <w:p w14:paraId="507AD846" w14:textId="77777777" w:rsidR="00CC7ECE" w:rsidRPr="00CC7ECE" w:rsidRDefault="00CC7ECE" w:rsidP="00CC7ECE">
      <w:pPr>
        <w:spacing w:after="160" w:line="278" w:lineRule="auto"/>
        <w:jc w:val="left"/>
        <w:rPr>
          <w:rFonts w:eastAsia="Times New Roman"/>
        </w:rPr>
      </w:pPr>
      <w:r w:rsidRPr="00CC7ECE">
        <w:rPr>
          <w:rFonts w:eastAsia="Times New Roman"/>
        </w:rPr>
        <w:t>Mi grupo y yo estamos trabajando en una propuesta para abordar los desafíos de la minería de litio en Argentina. Hemos analizado la problemática desde múltiples perspectivas (legal, social, ambiental, económica y tecnológica).</w:t>
      </w:r>
    </w:p>
    <w:p w14:paraId="13C7CC46" w14:textId="77777777" w:rsidR="00CC7ECE" w:rsidRPr="00CC7ECE" w:rsidRDefault="00CC7ECE" w:rsidP="00CC7ECE">
      <w:pPr>
        <w:spacing w:after="160" w:line="278" w:lineRule="auto"/>
        <w:jc w:val="left"/>
        <w:rPr>
          <w:rFonts w:eastAsia="Times New Roman"/>
        </w:rPr>
      </w:pPr>
    </w:p>
    <w:p w14:paraId="72F460E9" w14:textId="77777777" w:rsidR="00CC7ECE" w:rsidRPr="00CC7ECE" w:rsidRDefault="00CC7ECE" w:rsidP="00CC7ECE">
      <w:pPr>
        <w:spacing w:after="160" w:line="278" w:lineRule="auto"/>
        <w:jc w:val="left"/>
        <w:rPr>
          <w:rFonts w:eastAsia="Times New Roman"/>
        </w:rPr>
      </w:pPr>
      <w:r w:rsidRPr="00CC7ECE">
        <w:rPr>
          <w:rFonts w:eastAsia="Times New Roman"/>
        </w:rPr>
        <w:t>Nuestra idea principal es proponerle al gobierno nacional la creación e implementación obligatoria de un Sistema Integrado Nacional de Monitoreo y Control de Actividades Mineras de Litio (SIMCAL).</w:t>
      </w:r>
    </w:p>
    <w:p w14:paraId="2436AF6D" w14:textId="77777777" w:rsidR="00CC7ECE" w:rsidRPr="00CC7ECE" w:rsidRDefault="00CC7ECE" w:rsidP="00CC7ECE">
      <w:pPr>
        <w:spacing w:after="160" w:line="278" w:lineRule="auto"/>
        <w:jc w:val="left"/>
        <w:rPr>
          <w:rFonts w:eastAsia="Times New Roman"/>
        </w:rPr>
      </w:pPr>
    </w:p>
    <w:p w14:paraId="60F4A7E9" w14:textId="77777777" w:rsidR="00CC7ECE" w:rsidRPr="00CC7ECE" w:rsidRDefault="00CC7ECE" w:rsidP="00CC7ECE">
      <w:pPr>
        <w:spacing w:after="160" w:line="278" w:lineRule="auto"/>
        <w:jc w:val="left"/>
        <w:rPr>
          <w:rFonts w:eastAsia="Times New Roman"/>
        </w:rPr>
      </w:pPr>
      <w:r w:rsidRPr="00CC7ECE">
        <w:rPr>
          <w:rFonts w:eastAsia="Times New Roman"/>
        </w:rPr>
        <w:t>El objetivo del SIMCAL sería centralizar y transparentar el monitoreo de la actividad minera en todo el país. Buscamos que este sistema aborde los problemas principales identificados en nuestros análisis, como el alto consumo de agua, la falta de una regulación unificada y los conflictos con las comunidades.</w:t>
      </w:r>
    </w:p>
    <w:p w14:paraId="24DA8225" w14:textId="77777777" w:rsidR="00CC7ECE" w:rsidRPr="00CC7ECE" w:rsidRDefault="00CC7ECE" w:rsidP="00CC7ECE">
      <w:pPr>
        <w:spacing w:after="160" w:line="278" w:lineRule="auto"/>
        <w:jc w:val="left"/>
        <w:rPr>
          <w:rFonts w:eastAsia="Times New Roman"/>
        </w:rPr>
      </w:pPr>
    </w:p>
    <w:p w14:paraId="6DBF7984" w14:textId="77777777" w:rsidR="00CC7ECE" w:rsidRPr="00CC7ECE" w:rsidRDefault="00CC7ECE" w:rsidP="00CC7ECE">
      <w:pPr>
        <w:spacing w:after="160" w:line="278" w:lineRule="auto"/>
        <w:jc w:val="left"/>
        <w:rPr>
          <w:rFonts w:eastAsia="Times New Roman"/>
        </w:rPr>
      </w:pPr>
      <w:r w:rsidRPr="00CC7ECE">
        <w:rPr>
          <w:rFonts w:eastAsia="Times New Roman"/>
        </w:rPr>
        <w:t>Propuesta: El Sistema Integrado de Monitoreo y Control (SIMCAL)</w:t>
      </w:r>
    </w:p>
    <w:p w14:paraId="597B718D" w14:textId="0233BDF3" w:rsidR="00CC7ECE" w:rsidRDefault="00CC7ECE" w:rsidP="00CC7ECE">
      <w:pPr>
        <w:spacing w:after="160" w:line="278" w:lineRule="auto"/>
        <w:jc w:val="left"/>
        <w:rPr>
          <w:rFonts w:eastAsia="Times New Roman"/>
        </w:rPr>
      </w:pPr>
      <w:r w:rsidRPr="00CC7ECE">
        <w:rPr>
          <w:rFonts w:eastAsia="Times New Roman"/>
        </w:rPr>
        <w:t>La propuesta central es el desarrollo y la implementación obligatoria de un Sistema Integrado Nacional de Monitoreo y Control de Actividades Mineras de Litio (SIMCAL). Este sistema es una herramienta tecnológica clave que permitiría al gobierno nacional y a los gobiernos provinciales supervisar y regular de manera efectiva la actividad minera. En lugar de proponer una reforma legal completa, esta iniciativa se enfoca en introducir el SIMCAL como un protocolo de cumplimiento obligatorio para todas las empresas mineras que operan en el país. El sistema está diseñado para generar repercusiones positivas y tangibles en las esferas legal, social, económica, tecnológica</w:t>
      </w:r>
      <w:r w:rsidR="000A799A">
        <w:rPr>
          <w:rFonts w:eastAsia="Times New Roman"/>
        </w:rPr>
        <w:t xml:space="preserve"> </w:t>
      </w:r>
      <w:r w:rsidRPr="00CC7ECE">
        <w:rPr>
          <w:rFonts w:eastAsia="Times New Roman"/>
        </w:rPr>
        <w:t>y</w:t>
      </w:r>
      <w:r w:rsidR="000A799A">
        <w:rPr>
          <w:rFonts w:eastAsia="Times New Roman"/>
        </w:rPr>
        <w:t xml:space="preserve"> </w:t>
      </w:r>
      <w:r w:rsidRPr="00CC7ECE">
        <w:rPr>
          <w:rFonts w:eastAsia="Times New Roman"/>
        </w:rPr>
        <w:t>ambiental.</w:t>
      </w:r>
    </w:p>
    <w:p w14:paraId="38F03239" w14:textId="77777777" w:rsidR="00CC7ECE" w:rsidRDefault="00CC7ECE" w:rsidP="00CC7ECE">
      <w:pPr>
        <w:spacing w:after="160" w:line="278" w:lineRule="auto"/>
        <w:jc w:val="left"/>
        <w:rPr>
          <w:rFonts w:eastAsia="Times New Roman"/>
        </w:rPr>
      </w:pPr>
    </w:p>
    <w:p w14:paraId="1A78F289" w14:textId="6FC02249" w:rsidR="00CC7ECE" w:rsidRDefault="00CC7ECE" w:rsidP="00CC7ECE">
      <w:pPr>
        <w:spacing w:after="160" w:line="278" w:lineRule="auto"/>
        <w:jc w:val="left"/>
        <w:rPr>
          <w:rFonts w:eastAsia="Times New Roman" w:cstheme="majorBidi"/>
          <w:b/>
          <w:szCs w:val="32"/>
        </w:rPr>
      </w:pPr>
      <w:r>
        <w:rPr>
          <w:rFonts w:eastAsia="Times New Roman"/>
        </w:rPr>
        <w:br w:type="page"/>
      </w:r>
    </w:p>
    <w:p w14:paraId="59BD82AB" w14:textId="77777777" w:rsidR="00CC7ECE" w:rsidRDefault="00CC7ECE" w:rsidP="00CC7ECE">
      <w:pPr>
        <w:pStyle w:val="Ttulo1"/>
        <w:rPr>
          <w:rFonts w:eastAsia="Times New Roman"/>
        </w:rPr>
      </w:pPr>
      <w:r>
        <w:rPr>
          <w:rFonts w:eastAsia="Times New Roman"/>
        </w:rPr>
        <w:lastRenderedPageBreak/>
        <w:t>Objetivos</w:t>
      </w:r>
    </w:p>
    <w:p w14:paraId="564AB010" w14:textId="77777777" w:rsidR="00CC7ECE" w:rsidRDefault="00CC7ECE" w:rsidP="00CC7ECE">
      <w:pPr>
        <w:pStyle w:val="Ttulo2"/>
        <w:rPr>
          <w:rFonts w:eastAsia="Times New Roman"/>
        </w:rPr>
      </w:pPr>
      <w:r>
        <w:rPr>
          <w:rFonts w:eastAsia="Times New Roman"/>
        </w:rPr>
        <w:t>Objetivo general de la propuesta</w:t>
      </w:r>
    </w:p>
    <w:p w14:paraId="737B3C19" w14:textId="7526EEF3" w:rsidR="00CC7ECE" w:rsidRDefault="00CC7ECE" w:rsidP="00CC7ECE">
      <w:r>
        <w:t>Desarrollar e implementar un sistema de monitoreo que permita medir el impacto ambiental de cada planta de extracción de litio como un sistema obligatorio que permita al gobierno supervisar de manera efectiva la minería de litio, garantizando prácticas más transparentes, sostenibles y beneficiosas para el país.</w:t>
      </w:r>
    </w:p>
    <w:p w14:paraId="1CF8E1BA" w14:textId="77777777" w:rsidR="00CC7ECE" w:rsidRPr="00CC7ECE" w:rsidRDefault="00CC7ECE" w:rsidP="00CC7ECE"/>
    <w:p w14:paraId="33508956" w14:textId="2F5F3B85" w:rsidR="00F61E7E" w:rsidRDefault="00F61E7E" w:rsidP="00F61E7E">
      <w:pPr>
        <w:pStyle w:val="Ttulo2"/>
        <w:rPr>
          <w:rFonts w:eastAsia="Times New Roman"/>
        </w:rPr>
      </w:pPr>
      <w:r>
        <w:rPr>
          <w:rFonts w:eastAsia="Times New Roman"/>
        </w:rPr>
        <w:t>Objetivos específicos del enfoque tecnológico</w:t>
      </w:r>
    </w:p>
    <w:p w14:paraId="33B17100" w14:textId="77777777" w:rsidR="00F61E7E" w:rsidRPr="00A51933" w:rsidRDefault="00F61E7E" w:rsidP="00F61E7E">
      <w:pPr>
        <w:pStyle w:val="Prrafodelista"/>
        <w:numPr>
          <w:ilvl w:val="0"/>
          <w:numId w:val="15"/>
        </w:numPr>
        <w:ind w:left="426"/>
      </w:pPr>
      <w:r w:rsidRPr="00A51933">
        <w:t>Desplegar una infraestructura nacional de monitoreo ambiental y productivo, acompañada de programas de educación y capacitación que aseguren la instalación, mantenimiento y uso efectivo de la tecnología en las comunidades y organismos estatales.</w:t>
      </w:r>
    </w:p>
    <w:p w14:paraId="3948CECA" w14:textId="77777777" w:rsidR="00F61E7E" w:rsidRPr="00A51933" w:rsidRDefault="00F61E7E" w:rsidP="00F61E7E">
      <w:pPr>
        <w:pStyle w:val="Prrafodelista"/>
        <w:numPr>
          <w:ilvl w:val="0"/>
          <w:numId w:val="15"/>
        </w:numPr>
        <w:ind w:left="426"/>
      </w:pPr>
      <w:r w:rsidRPr="00A51933">
        <w:t>Desarrollar una plataforma digital centralizada para la gestión de datos en tiempo real, fortalecida con protocolos de ciberseguridad y soberanía de la información que garanticen la protección y confiabilidad de los registros generados por la actividad minera.</w:t>
      </w:r>
    </w:p>
    <w:p w14:paraId="3931E14B" w14:textId="77777777" w:rsidR="00F61E7E" w:rsidRPr="00A51933" w:rsidRDefault="00F61E7E" w:rsidP="00F61E7E">
      <w:pPr>
        <w:pStyle w:val="Prrafodelista"/>
        <w:numPr>
          <w:ilvl w:val="0"/>
          <w:numId w:val="15"/>
        </w:numPr>
        <w:ind w:left="426"/>
      </w:pPr>
      <w:r>
        <w:t>I</w:t>
      </w:r>
      <w:r w:rsidRPr="00A51933">
        <w:t>mplementar un sistema de transparencia y acceso a la información, vinculado a incentivos tecnológicos y regulatorios que premien a las empresas con mejores prácticas ambientales y promuevan la confianza social en la gestión del recurso.</w:t>
      </w:r>
    </w:p>
    <w:p w14:paraId="10447906" w14:textId="2DE3A237" w:rsidR="00460820" w:rsidRDefault="00460820">
      <w:pPr>
        <w:spacing w:after="160" w:line="278" w:lineRule="auto"/>
        <w:jc w:val="left"/>
        <w:rPr>
          <w:rFonts w:eastAsia="Times New Roman" w:cs="Times New Roman"/>
          <w:color w:val="000000"/>
          <w:sz w:val="26"/>
          <w:szCs w:val="26"/>
        </w:rPr>
      </w:pPr>
      <w:r>
        <w:rPr>
          <w:rFonts w:eastAsia="Times New Roman" w:cs="Times New Roman"/>
          <w:color w:val="000000"/>
          <w:sz w:val="26"/>
          <w:szCs w:val="26"/>
        </w:rPr>
        <w:br w:type="page"/>
      </w:r>
    </w:p>
    <w:p w14:paraId="072B3385" w14:textId="77777777" w:rsidR="00460820" w:rsidRPr="00460820" w:rsidRDefault="00460820" w:rsidP="00460820">
      <w:pPr>
        <w:spacing w:after="160" w:line="278" w:lineRule="auto"/>
        <w:jc w:val="left"/>
        <w:rPr>
          <w:rFonts w:eastAsia="Times New Roman" w:cs="Times New Roman"/>
          <w:b/>
          <w:bCs/>
          <w:color w:val="000000"/>
          <w:sz w:val="26"/>
          <w:szCs w:val="26"/>
        </w:rPr>
      </w:pPr>
      <w:r w:rsidRPr="00460820">
        <w:rPr>
          <w:rFonts w:eastAsia="Times New Roman" w:cs="Times New Roman"/>
          <w:b/>
          <w:bCs/>
          <w:color w:val="000000"/>
          <w:sz w:val="26"/>
          <w:szCs w:val="26"/>
        </w:rPr>
        <w:lastRenderedPageBreak/>
        <w:t>Introducción</w:t>
      </w:r>
    </w:p>
    <w:p w14:paraId="1F643023" w14:textId="77777777" w:rsidR="00460820" w:rsidRPr="00460820" w:rsidRDefault="00460820" w:rsidP="00460820">
      <w:p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La minería de litio en Argentina se ha consolidado como una actividad estratégica en el marco de la transición energética global, pero también como una de las más desafiantes en términos legales, sociales, ambientales, económicos y tecnológicos. Distintos estudios técnicos han demostrado que el actual modelo de explotación presenta serias limitaciones: un marco legal fragmentado que dificulta la regulación unificada (Caciani Toniolo, 2025), un consumo intensivo de agua y procesos de desertificación que comprometen ecosistemas frágiles (Ollier, 2025), tensiones sociales derivadas de la pérdida de licencia social para operar (</w:t>
      </w:r>
      <w:proofErr w:type="spellStart"/>
      <w:r w:rsidRPr="00460820">
        <w:rPr>
          <w:rFonts w:eastAsia="Times New Roman" w:cs="Times New Roman"/>
          <w:color w:val="000000"/>
          <w:sz w:val="26"/>
          <w:szCs w:val="26"/>
        </w:rPr>
        <w:t>Faccipieri</w:t>
      </w:r>
      <w:proofErr w:type="spellEnd"/>
      <w:r w:rsidRPr="00460820">
        <w:rPr>
          <w:rFonts w:eastAsia="Times New Roman" w:cs="Times New Roman"/>
          <w:color w:val="000000"/>
          <w:sz w:val="26"/>
          <w:szCs w:val="26"/>
        </w:rPr>
        <w:t>, 2025) y una dependencia de tecnologías extractivas de alto impacto hídrico que requieren ser reemplazadas o complementadas por alternativas más eficientes (Chanquía, 2025). Frente a este escenario, resulta imperioso que el Estado nacional y los gobiernos provinciales fortalezcan sus herramientas de control y fiscalización.</w:t>
      </w:r>
    </w:p>
    <w:p w14:paraId="619778BE" w14:textId="77777777" w:rsidR="00460820" w:rsidRPr="00460820" w:rsidRDefault="00460820" w:rsidP="00460820">
      <w:p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 xml:space="preserve">En este contexto se propone la creación del </w:t>
      </w:r>
      <w:r w:rsidRPr="00460820">
        <w:rPr>
          <w:rFonts w:eastAsia="Times New Roman" w:cs="Times New Roman"/>
          <w:b/>
          <w:bCs/>
          <w:color w:val="000000"/>
          <w:sz w:val="26"/>
          <w:szCs w:val="26"/>
        </w:rPr>
        <w:t>Sistema Integrado Nacional de Monitoreo y Control de Actividades Mineras de Litio (SIMCAL)</w:t>
      </w:r>
      <w:r w:rsidRPr="00460820">
        <w:rPr>
          <w:rFonts w:eastAsia="Times New Roman" w:cs="Times New Roman"/>
          <w:color w:val="000000"/>
          <w:sz w:val="26"/>
          <w:szCs w:val="26"/>
        </w:rPr>
        <w:t>, un protocolo de cumplimiento obligatorio para todas las empresas que operen en el país. Este sistema permitirá centralizar la información, transparentar la actividad y dotar al Estado de una infraestructura tecnológica y regulatoria capaz de enfrentar los desafíos identificados.</w:t>
      </w:r>
    </w:p>
    <w:p w14:paraId="0AFFFC8D" w14:textId="77777777" w:rsidR="00460820" w:rsidRPr="00460820" w:rsidRDefault="00460820" w:rsidP="00460820">
      <w:p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Los objetivos específicos de esta propuesta se articulan en torno a cinco enfoques:</w:t>
      </w:r>
    </w:p>
    <w:p w14:paraId="19885370" w14:textId="77777777" w:rsidR="00460820" w:rsidRPr="00460820" w:rsidRDefault="00460820" w:rsidP="00460820">
      <w:pPr>
        <w:numPr>
          <w:ilvl w:val="0"/>
          <w:numId w:val="16"/>
        </w:numPr>
        <w:spacing w:after="160" w:line="278" w:lineRule="auto"/>
        <w:jc w:val="left"/>
        <w:rPr>
          <w:rFonts w:eastAsia="Times New Roman" w:cs="Times New Roman"/>
          <w:color w:val="000000"/>
          <w:sz w:val="26"/>
          <w:szCs w:val="26"/>
        </w:rPr>
      </w:pPr>
      <w:r w:rsidRPr="00460820">
        <w:rPr>
          <w:rFonts w:eastAsia="Times New Roman" w:cs="Times New Roman"/>
          <w:b/>
          <w:bCs/>
          <w:color w:val="000000"/>
          <w:sz w:val="26"/>
          <w:szCs w:val="26"/>
        </w:rPr>
        <w:t>Tecnológico</w:t>
      </w:r>
      <w:r w:rsidRPr="00460820">
        <w:rPr>
          <w:rFonts w:eastAsia="Times New Roman" w:cs="Times New Roman"/>
          <w:color w:val="000000"/>
          <w:sz w:val="26"/>
          <w:szCs w:val="26"/>
        </w:rPr>
        <w:t>: desplegar una infraestructura nacional de monitoreo ambiental y productivo, acompañada de programas de educación y capacitación; desarrollar una plataforma digital centralizada con protocolos de ciberseguridad; e implementar un sistema de transparencia y acceso a la información que vincule buenas prácticas con incentivos tecnológicos y regulatorios.</w:t>
      </w:r>
    </w:p>
    <w:p w14:paraId="1DF5BB98" w14:textId="77777777" w:rsidR="00460820" w:rsidRPr="00460820" w:rsidRDefault="00460820" w:rsidP="00460820">
      <w:pPr>
        <w:numPr>
          <w:ilvl w:val="0"/>
          <w:numId w:val="16"/>
        </w:numPr>
        <w:spacing w:after="160" w:line="278" w:lineRule="auto"/>
        <w:jc w:val="left"/>
        <w:rPr>
          <w:rFonts w:eastAsia="Times New Roman" w:cs="Times New Roman"/>
          <w:color w:val="000000"/>
          <w:sz w:val="26"/>
          <w:szCs w:val="26"/>
        </w:rPr>
      </w:pPr>
      <w:r w:rsidRPr="00460820">
        <w:rPr>
          <w:rFonts w:eastAsia="Times New Roman" w:cs="Times New Roman"/>
          <w:b/>
          <w:bCs/>
          <w:color w:val="000000"/>
          <w:sz w:val="26"/>
          <w:szCs w:val="26"/>
        </w:rPr>
        <w:t>Social</w:t>
      </w:r>
      <w:r w:rsidRPr="00460820">
        <w:rPr>
          <w:rFonts w:eastAsia="Times New Roman" w:cs="Times New Roman"/>
          <w:color w:val="000000"/>
          <w:sz w:val="26"/>
          <w:szCs w:val="26"/>
        </w:rPr>
        <w:t>: promover la transparencia de los datos para que las comunidades accedan a información pública verificable, fortaleciendo así una licencia social genuina para operar.</w:t>
      </w:r>
    </w:p>
    <w:p w14:paraId="772A69C4" w14:textId="77777777" w:rsidR="00460820" w:rsidRPr="00460820" w:rsidRDefault="00460820" w:rsidP="00460820">
      <w:pPr>
        <w:numPr>
          <w:ilvl w:val="0"/>
          <w:numId w:val="16"/>
        </w:numPr>
        <w:spacing w:after="160" w:line="278" w:lineRule="auto"/>
        <w:jc w:val="left"/>
        <w:rPr>
          <w:rFonts w:eastAsia="Times New Roman" w:cs="Times New Roman"/>
          <w:color w:val="000000"/>
          <w:sz w:val="26"/>
          <w:szCs w:val="26"/>
        </w:rPr>
      </w:pPr>
      <w:r w:rsidRPr="00460820">
        <w:rPr>
          <w:rFonts w:eastAsia="Times New Roman" w:cs="Times New Roman"/>
          <w:b/>
          <w:bCs/>
          <w:color w:val="000000"/>
          <w:sz w:val="26"/>
          <w:szCs w:val="26"/>
        </w:rPr>
        <w:t>Económico</w:t>
      </w:r>
      <w:r w:rsidRPr="00460820">
        <w:rPr>
          <w:rFonts w:eastAsia="Times New Roman" w:cs="Times New Roman"/>
          <w:color w:val="000000"/>
          <w:sz w:val="26"/>
          <w:szCs w:val="26"/>
        </w:rPr>
        <w:t>: establecer un régimen de regalías progresivo basado en los datos del SIMCAL, de modo de optimizar la distribución de ingresos y vincular los beneficios fiscales con prácticas extractivas sostenibles.</w:t>
      </w:r>
    </w:p>
    <w:p w14:paraId="31288335" w14:textId="77777777" w:rsidR="00460820" w:rsidRPr="00460820" w:rsidRDefault="00460820" w:rsidP="00460820">
      <w:pPr>
        <w:numPr>
          <w:ilvl w:val="0"/>
          <w:numId w:val="16"/>
        </w:numPr>
        <w:spacing w:after="160" w:line="278" w:lineRule="auto"/>
        <w:jc w:val="left"/>
        <w:rPr>
          <w:rFonts w:eastAsia="Times New Roman" w:cs="Times New Roman"/>
          <w:color w:val="000000"/>
          <w:sz w:val="26"/>
          <w:szCs w:val="26"/>
        </w:rPr>
      </w:pPr>
      <w:r w:rsidRPr="00460820">
        <w:rPr>
          <w:rFonts w:eastAsia="Times New Roman" w:cs="Times New Roman"/>
          <w:b/>
          <w:bCs/>
          <w:color w:val="000000"/>
          <w:sz w:val="26"/>
          <w:szCs w:val="26"/>
        </w:rPr>
        <w:t>Político/legal</w:t>
      </w:r>
      <w:r w:rsidRPr="00460820">
        <w:rPr>
          <w:rFonts w:eastAsia="Times New Roman" w:cs="Times New Roman"/>
          <w:color w:val="000000"/>
          <w:sz w:val="26"/>
          <w:szCs w:val="26"/>
        </w:rPr>
        <w:t>: institucionalizar el SIMCAL como protocolo obligatorio de fiscalización, con un marco sancionatorio específico y la vinculación de beneficios fiscales al cumplimiento transparente del sistema.</w:t>
      </w:r>
    </w:p>
    <w:p w14:paraId="7A3E5D98" w14:textId="77777777" w:rsidR="00460820" w:rsidRPr="00460820" w:rsidRDefault="00460820" w:rsidP="00460820">
      <w:pPr>
        <w:numPr>
          <w:ilvl w:val="0"/>
          <w:numId w:val="16"/>
        </w:numPr>
        <w:spacing w:after="160" w:line="278" w:lineRule="auto"/>
        <w:jc w:val="left"/>
        <w:rPr>
          <w:rFonts w:eastAsia="Times New Roman" w:cs="Times New Roman"/>
          <w:color w:val="000000"/>
          <w:sz w:val="26"/>
          <w:szCs w:val="26"/>
        </w:rPr>
      </w:pPr>
      <w:r w:rsidRPr="00460820">
        <w:rPr>
          <w:rFonts w:eastAsia="Times New Roman" w:cs="Times New Roman"/>
          <w:b/>
          <w:bCs/>
          <w:color w:val="000000"/>
          <w:sz w:val="26"/>
          <w:szCs w:val="26"/>
        </w:rPr>
        <w:lastRenderedPageBreak/>
        <w:t>Ambiental</w:t>
      </w:r>
      <w:r w:rsidRPr="00460820">
        <w:rPr>
          <w:rFonts w:eastAsia="Times New Roman" w:cs="Times New Roman"/>
          <w:color w:val="000000"/>
          <w:sz w:val="26"/>
          <w:szCs w:val="26"/>
        </w:rPr>
        <w:t>: diseñar e implementar un módulo de monitoreo integral del consumo hídrico, la calidad del agua y del suelo, y los impactos acumulativos sobre los ecosistemas, con el fin de generar alertas tempranas y garantizar una gestión preventiva que reduzca la degradación ambiental.</w:t>
      </w:r>
    </w:p>
    <w:p w14:paraId="45998C26" w14:textId="77777777" w:rsidR="00460820" w:rsidRPr="00460820" w:rsidRDefault="00460820" w:rsidP="00460820">
      <w:p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De esta manera, el SIMCAL se presenta como una herramienta transversal que responde de forma concreta a los problemas identificados por la comunidad académica y técnica, y que permitirá a las autoridades estatales consolidar un modelo de minería de litio más responsable, transparente y sostenible.</w:t>
      </w:r>
    </w:p>
    <w:p w14:paraId="2EA2786E" w14:textId="77777777" w:rsidR="00460820" w:rsidRPr="00460820" w:rsidRDefault="00000000" w:rsidP="00460820">
      <w:pPr>
        <w:spacing w:after="160" w:line="278" w:lineRule="auto"/>
        <w:jc w:val="left"/>
        <w:rPr>
          <w:rFonts w:eastAsia="Times New Roman" w:cs="Times New Roman"/>
          <w:color w:val="000000"/>
          <w:sz w:val="26"/>
          <w:szCs w:val="26"/>
        </w:rPr>
      </w:pPr>
      <w:r>
        <w:rPr>
          <w:rFonts w:eastAsia="Times New Roman" w:cs="Times New Roman"/>
          <w:color w:val="000000"/>
          <w:sz w:val="26"/>
          <w:szCs w:val="26"/>
        </w:rPr>
        <w:pict w14:anchorId="036CFCCF">
          <v:rect id="_x0000_i1025" style="width:0;height:1.5pt" o:hralign="center" o:hrstd="t" o:hr="t" fillcolor="#a0a0a0" stroked="f"/>
        </w:pict>
      </w:r>
    </w:p>
    <w:p w14:paraId="29F2D9A5" w14:textId="77777777" w:rsidR="00460820" w:rsidRPr="00460820" w:rsidRDefault="00460820" w:rsidP="00460820">
      <w:pPr>
        <w:spacing w:after="160" w:line="278" w:lineRule="auto"/>
        <w:jc w:val="left"/>
        <w:rPr>
          <w:rFonts w:eastAsia="Times New Roman" w:cs="Times New Roman"/>
          <w:b/>
          <w:bCs/>
          <w:color w:val="000000"/>
          <w:sz w:val="26"/>
          <w:szCs w:val="26"/>
        </w:rPr>
      </w:pPr>
      <w:r w:rsidRPr="00460820">
        <w:rPr>
          <w:rFonts w:eastAsia="Times New Roman" w:cs="Times New Roman"/>
          <w:b/>
          <w:bCs/>
          <w:color w:val="000000"/>
          <w:sz w:val="26"/>
          <w:szCs w:val="26"/>
        </w:rPr>
        <w:t>Referencias</w:t>
      </w:r>
    </w:p>
    <w:p w14:paraId="649465EE" w14:textId="77777777" w:rsidR="00460820" w:rsidRPr="00460820" w:rsidRDefault="00460820" w:rsidP="00460820">
      <w:pPr>
        <w:numPr>
          <w:ilvl w:val="0"/>
          <w:numId w:val="17"/>
        </w:num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 xml:space="preserve">Caciani Toniolo, M. (2025). </w:t>
      </w:r>
      <w:r w:rsidRPr="00460820">
        <w:rPr>
          <w:rFonts w:eastAsia="Times New Roman" w:cs="Times New Roman"/>
          <w:i/>
          <w:iCs/>
          <w:color w:val="000000"/>
          <w:sz w:val="26"/>
          <w:szCs w:val="26"/>
        </w:rPr>
        <w:t>Análisis del marco legal de la minería de litio en Argentina: Desafíos y oportunidades ante la transición energética</w:t>
      </w:r>
      <w:r w:rsidRPr="00460820">
        <w:rPr>
          <w:rFonts w:eastAsia="Times New Roman" w:cs="Times New Roman"/>
          <w:color w:val="000000"/>
          <w:sz w:val="26"/>
          <w:szCs w:val="26"/>
        </w:rPr>
        <w:t>. Consultas Mineras SA.</w:t>
      </w:r>
    </w:p>
    <w:p w14:paraId="2C17573E" w14:textId="77777777" w:rsidR="00460820" w:rsidRPr="00460820" w:rsidRDefault="00460820" w:rsidP="00460820">
      <w:pPr>
        <w:numPr>
          <w:ilvl w:val="0"/>
          <w:numId w:val="17"/>
        </w:num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 xml:space="preserve">Chanquía, J. (2025). </w:t>
      </w:r>
      <w:r w:rsidRPr="00460820">
        <w:rPr>
          <w:rFonts w:eastAsia="Times New Roman" w:cs="Times New Roman"/>
          <w:i/>
          <w:iCs/>
          <w:color w:val="000000"/>
          <w:sz w:val="26"/>
          <w:szCs w:val="26"/>
        </w:rPr>
        <w:t>Tecnologías de extracción de litio en Argentina: eficiencia, innovación y viabilidad de implementación</w:t>
      </w:r>
      <w:r w:rsidRPr="00460820">
        <w:rPr>
          <w:rFonts w:eastAsia="Times New Roman" w:cs="Times New Roman"/>
          <w:color w:val="000000"/>
          <w:sz w:val="26"/>
          <w:szCs w:val="26"/>
        </w:rPr>
        <w:t>. Consultas Mineras SA.</w:t>
      </w:r>
    </w:p>
    <w:p w14:paraId="167AC210" w14:textId="77777777" w:rsidR="00460820" w:rsidRPr="00460820" w:rsidRDefault="00460820" w:rsidP="00460820">
      <w:pPr>
        <w:numPr>
          <w:ilvl w:val="0"/>
          <w:numId w:val="17"/>
        </w:numPr>
        <w:spacing w:after="160" w:line="278" w:lineRule="auto"/>
        <w:jc w:val="left"/>
        <w:rPr>
          <w:rFonts w:eastAsia="Times New Roman" w:cs="Times New Roman"/>
          <w:color w:val="000000"/>
          <w:sz w:val="26"/>
          <w:szCs w:val="26"/>
        </w:rPr>
      </w:pPr>
      <w:proofErr w:type="spellStart"/>
      <w:r w:rsidRPr="00460820">
        <w:rPr>
          <w:rFonts w:eastAsia="Times New Roman" w:cs="Times New Roman"/>
          <w:color w:val="000000"/>
          <w:sz w:val="26"/>
          <w:szCs w:val="26"/>
        </w:rPr>
        <w:t>Faccipieri</w:t>
      </w:r>
      <w:proofErr w:type="spellEnd"/>
      <w:r w:rsidRPr="00460820">
        <w:rPr>
          <w:rFonts w:eastAsia="Times New Roman" w:cs="Times New Roman"/>
          <w:color w:val="000000"/>
          <w:sz w:val="26"/>
          <w:szCs w:val="26"/>
        </w:rPr>
        <w:t xml:space="preserve">, I. (2025). </w:t>
      </w:r>
      <w:r w:rsidRPr="00460820">
        <w:rPr>
          <w:rFonts w:eastAsia="Times New Roman" w:cs="Times New Roman"/>
          <w:i/>
          <w:iCs/>
          <w:color w:val="000000"/>
          <w:sz w:val="26"/>
          <w:szCs w:val="26"/>
        </w:rPr>
        <w:t xml:space="preserve">Impacto de la minería de litio en la población: conflictos </w:t>
      </w:r>
      <w:proofErr w:type="gramStart"/>
      <w:r w:rsidRPr="00460820">
        <w:rPr>
          <w:rFonts w:eastAsia="Times New Roman" w:cs="Times New Roman"/>
          <w:i/>
          <w:iCs/>
          <w:color w:val="000000"/>
          <w:sz w:val="26"/>
          <w:szCs w:val="26"/>
        </w:rPr>
        <w:t>socio-ambientales</w:t>
      </w:r>
      <w:proofErr w:type="gramEnd"/>
      <w:r w:rsidRPr="00460820">
        <w:rPr>
          <w:rFonts w:eastAsia="Times New Roman" w:cs="Times New Roman"/>
          <w:i/>
          <w:iCs/>
          <w:color w:val="000000"/>
          <w:sz w:val="26"/>
          <w:szCs w:val="26"/>
        </w:rPr>
        <w:t>, enfoque social</w:t>
      </w:r>
      <w:r w:rsidRPr="00460820">
        <w:rPr>
          <w:rFonts w:eastAsia="Times New Roman" w:cs="Times New Roman"/>
          <w:color w:val="000000"/>
          <w:sz w:val="26"/>
          <w:szCs w:val="26"/>
        </w:rPr>
        <w:t>. Consultas Mineras SA.</w:t>
      </w:r>
    </w:p>
    <w:p w14:paraId="7E739FCC" w14:textId="77777777" w:rsidR="00460820" w:rsidRPr="00460820" w:rsidRDefault="00460820" w:rsidP="00460820">
      <w:pPr>
        <w:numPr>
          <w:ilvl w:val="0"/>
          <w:numId w:val="17"/>
        </w:numPr>
        <w:spacing w:after="160" w:line="278" w:lineRule="auto"/>
        <w:jc w:val="left"/>
        <w:rPr>
          <w:rFonts w:eastAsia="Times New Roman" w:cs="Times New Roman"/>
          <w:color w:val="000000"/>
          <w:sz w:val="26"/>
          <w:szCs w:val="26"/>
        </w:rPr>
      </w:pPr>
      <w:r w:rsidRPr="00460820">
        <w:rPr>
          <w:rFonts w:eastAsia="Times New Roman" w:cs="Times New Roman"/>
          <w:color w:val="000000"/>
          <w:sz w:val="26"/>
          <w:szCs w:val="26"/>
        </w:rPr>
        <w:t xml:space="preserve">Ollier, G. (2025). </w:t>
      </w:r>
      <w:r w:rsidRPr="00460820">
        <w:rPr>
          <w:rFonts w:eastAsia="Times New Roman" w:cs="Times New Roman"/>
          <w:i/>
          <w:iCs/>
          <w:color w:val="000000"/>
          <w:sz w:val="26"/>
          <w:szCs w:val="26"/>
        </w:rPr>
        <w:t>Impactos ambientales de la minería de litio en el Noroeste Argentino: agua, desertificación y biodiversidad</w:t>
      </w:r>
      <w:r w:rsidRPr="00460820">
        <w:rPr>
          <w:rFonts w:eastAsia="Times New Roman" w:cs="Times New Roman"/>
          <w:color w:val="000000"/>
          <w:sz w:val="26"/>
          <w:szCs w:val="26"/>
        </w:rPr>
        <w:t>. Consultas Mineras SA.</w:t>
      </w:r>
    </w:p>
    <w:p w14:paraId="10D2D2F4" w14:textId="77777777" w:rsidR="00460820" w:rsidRDefault="00460820">
      <w:pPr>
        <w:spacing w:after="160" w:line="278" w:lineRule="auto"/>
        <w:jc w:val="left"/>
        <w:rPr>
          <w:rFonts w:eastAsia="Times New Roman" w:cs="Times New Roman"/>
          <w:color w:val="000000"/>
          <w:sz w:val="26"/>
          <w:szCs w:val="26"/>
        </w:rPr>
      </w:pPr>
    </w:p>
    <w:p w14:paraId="4ABE5E5E" w14:textId="56B2466C" w:rsidR="00460820" w:rsidRDefault="00460820">
      <w:pPr>
        <w:spacing w:after="160" w:line="278" w:lineRule="auto"/>
        <w:jc w:val="left"/>
        <w:rPr>
          <w:rFonts w:eastAsia="Times New Roman" w:cs="Times New Roman"/>
          <w:color w:val="000000"/>
          <w:sz w:val="26"/>
          <w:szCs w:val="26"/>
        </w:rPr>
      </w:pPr>
      <w:r>
        <w:rPr>
          <w:rFonts w:eastAsia="Times New Roman" w:cs="Times New Roman"/>
          <w:color w:val="000000"/>
          <w:sz w:val="26"/>
          <w:szCs w:val="26"/>
        </w:rPr>
        <w:br w:type="page"/>
      </w:r>
    </w:p>
    <w:p w14:paraId="6622DE22" w14:textId="77777777" w:rsidR="00460820" w:rsidRPr="00460820" w:rsidRDefault="00460820" w:rsidP="00460820">
      <w:r w:rsidRPr="00460820">
        <w:lastRenderedPageBreak/>
        <w:t>La minería de litio en Argentina ocupa un lugar estratégico en la transición energética global, pero su desarrollo actual enfrenta limitaciones significativas en lo legal, ambiental, social y tecnológico. El marco regulatorio fragmentado que caracteriza al país impide una fiscalización unificada y efectiva, generando vacíos que debilitan el rol del Estado y su capacidad de control (Caciani Toniolo, 2025). A esto se suman impactos ambientales críticos, entre ellos el consumo intensivo de agua y la aceleración de procesos de desertificación en los ecosistemas altoandinos, que ponen en riesgo tanto la biodiversidad como la disponibilidad de recursos hídricos para las comunidades (Ollier, 2025). Estas condiciones han alimentado tensiones sociales y conflictos que cuestionan la legitimidad de la actividad minera y amenazan la licencia social para operar.</w:t>
      </w:r>
    </w:p>
    <w:p w14:paraId="62B09EB5" w14:textId="77777777" w:rsidR="00460820" w:rsidRPr="00460820" w:rsidRDefault="00460820" w:rsidP="00460820">
      <w:r w:rsidRPr="00460820">
        <w:t xml:space="preserve">Frente a este escenario, se propone la creación del </w:t>
      </w:r>
      <w:r w:rsidRPr="00460820">
        <w:rPr>
          <w:b/>
          <w:bCs/>
        </w:rPr>
        <w:t>Sistema Integrado Nacional de Monitoreo y Control de Actividades Mineras de Litio (SIMCAL)</w:t>
      </w:r>
      <w:r w:rsidRPr="00460820">
        <w:t>, concebido como un protocolo de cumplimiento obligatorio para todas las empresas del sector. Su implementación permitirá centralizar la información y garantizar su transparencia, fortaleciendo el poder de fiscalización del Estado y generando datos confiables para orientar políticas públicas y decisiones estratégicas. Asimismo, el SIMCAL integrará objetivos específicos de carácter tecnológico, social, económico, político-legal y ambiental, ofreciendo una respuesta integral a los desafíos identificados. De este modo, se busca consolidar un modelo de minería de litio más responsable, transparente y sostenible, que maximice los beneficios para el país y minimice los costos ambientales y sociales asociados a esta actividad.</w:t>
      </w:r>
    </w:p>
    <w:p w14:paraId="3A74C7C5" w14:textId="6C7E8B51" w:rsidR="00460820" w:rsidRDefault="00460820" w:rsidP="00460820">
      <w:r>
        <w:br w:type="page"/>
      </w:r>
    </w:p>
    <w:p w14:paraId="4DB3A4A7" w14:textId="77777777" w:rsidR="00F61E7E" w:rsidRDefault="00F61E7E">
      <w:pPr>
        <w:spacing w:after="160" w:line="278" w:lineRule="auto"/>
        <w:jc w:val="left"/>
        <w:rPr>
          <w:rFonts w:eastAsia="Times New Roman" w:cs="Times New Roman"/>
          <w:color w:val="000000"/>
          <w:sz w:val="26"/>
          <w:szCs w:val="26"/>
        </w:rPr>
      </w:pPr>
    </w:p>
    <w:p w14:paraId="65EFC50E" w14:textId="5F26E1FA" w:rsidR="00B1304C" w:rsidRDefault="00F61E7E" w:rsidP="00F61E7E">
      <w:pPr>
        <w:pStyle w:val="Ttulo1"/>
        <w:rPr>
          <w:rFonts w:eastAsia="Times New Roman"/>
        </w:rPr>
      </w:pPr>
      <w:r>
        <w:rPr>
          <w:rFonts w:eastAsia="Times New Roman"/>
        </w:rPr>
        <w:t>LLUVIA DE IDEAS</w:t>
      </w:r>
    </w:p>
    <w:p w14:paraId="395DB5D1" w14:textId="2C72CA0F" w:rsidR="00B1304C" w:rsidRPr="008B4239" w:rsidRDefault="00B1304C" w:rsidP="008B4239">
      <w:pPr>
        <w:pStyle w:val="Ttulo2"/>
      </w:pPr>
      <w:r w:rsidRPr="008B4239">
        <w:t>1. Infraestructura de monitoreo</w:t>
      </w:r>
    </w:p>
    <w:p w14:paraId="5B14F6E1" w14:textId="77777777" w:rsidR="00B1304C" w:rsidRDefault="00B1304C" w:rsidP="00B1304C">
      <w:pPr>
        <w:numPr>
          <w:ilvl w:val="0"/>
          <w:numId w:val="3"/>
        </w:numPr>
        <w:spacing w:before="240"/>
        <w:ind w:left="348"/>
        <w:rPr>
          <w:rFonts w:eastAsia="Times New Roman" w:cs="Times New Roman"/>
        </w:rPr>
      </w:pPr>
      <w:r>
        <w:rPr>
          <w:rFonts w:eastAsia="Times New Roman" w:cs="Times New Roman"/>
        </w:rPr>
        <w:t xml:space="preserve">Sensores </w:t>
      </w:r>
      <w:proofErr w:type="spellStart"/>
      <w:r>
        <w:rPr>
          <w:rFonts w:eastAsia="Times New Roman" w:cs="Times New Roman"/>
        </w:rPr>
        <w:t>IoT</w:t>
      </w:r>
      <w:proofErr w:type="spellEnd"/>
      <w:r>
        <w:rPr>
          <w:rFonts w:eastAsia="Times New Roman" w:cs="Times New Roman"/>
        </w:rPr>
        <w:t xml:space="preserve"> obligatorios en campo: caudalímetros, piezómetros, estaciones meteorológicas, sensores de calidad de agua, medidores de salinidad.</w:t>
      </w:r>
    </w:p>
    <w:p w14:paraId="4E4FFB6A" w14:textId="77777777" w:rsidR="00B1304C" w:rsidRDefault="00B1304C" w:rsidP="00B1304C">
      <w:pPr>
        <w:numPr>
          <w:ilvl w:val="0"/>
          <w:numId w:val="3"/>
        </w:numPr>
        <w:ind w:left="348"/>
        <w:rPr>
          <w:rFonts w:eastAsia="Times New Roman" w:cs="Times New Roman"/>
        </w:rPr>
      </w:pPr>
      <w:r>
        <w:rPr>
          <w:rFonts w:eastAsia="Times New Roman" w:cs="Times New Roman"/>
        </w:rPr>
        <w:t>Drones y satélites: control de uso de agua, afectación de salares y áreas protegidas.</w:t>
      </w:r>
    </w:p>
    <w:p w14:paraId="6D6CFE00" w14:textId="77777777" w:rsidR="00B1304C" w:rsidRDefault="00B1304C" w:rsidP="00B1304C">
      <w:pPr>
        <w:numPr>
          <w:ilvl w:val="0"/>
          <w:numId w:val="3"/>
        </w:numPr>
        <w:ind w:left="348"/>
        <w:rPr>
          <w:rFonts w:eastAsia="Times New Roman" w:cs="Times New Roman"/>
        </w:rPr>
      </w:pPr>
      <w:r>
        <w:rPr>
          <w:rFonts w:eastAsia="Times New Roman" w:cs="Times New Roman"/>
        </w:rPr>
        <w:t>Dispositivos de muestreo automático: análisis periódico de residuos químicos.</w:t>
      </w:r>
    </w:p>
    <w:p w14:paraId="095946CE" w14:textId="77777777" w:rsidR="00B1304C" w:rsidRDefault="00B1304C" w:rsidP="00B1304C">
      <w:pPr>
        <w:numPr>
          <w:ilvl w:val="0"/>
          <w:numId w:val="3"/>
        </w:numPr>
        <w:spacing w:after="240"/>
        <w:ind w:left="348"/>
        <w:rPr>
          <w:rFonts w:eastAsia="Times New Roman" w:cs="Times New Roman"/>
        </w:rPr>
      </w:pPr>
      <w:r>
        <w:rPr>
          <w:rFonts w:eastAsia="Times New Roman" w:cs="Times New Roman"/>
        </w:rPr>
        <w:t xml:space="preserve">Tecnología </w:t>
      </w:r>
      <w:proofErr w:type="spellStart"/>
      <w:r>
        <w:rPr>
          <w:rFonts w:eastAsia="Times New Roman" w:cs="Times New Roman"/>
        </w:rPr>
        <w:t>blockchain</w:t>
      </w:r>
      <w:proofErr w:type="spellEnd"/>
      <w:r>
        <w:rPr>
          <w:rFonts w:eastAsia="Times New Roman" w:cs="Times New Roman"/>
        </w:rPr>
        <w:t xml:space="preserve"> para registrar datos de forma inmutable y auditable.</w:t>
      </w:r>
    </w:p>
    <w:p w14:paraId="40FE099A" w14:textId="77777777" w:rsidR="00B1304C" w:rsidRPr="008B4239" w:rsidRDefault="00B1304C" w:rsidP="008B4239">
      <w:pPr>
        <w:pStyle w:val="Ttulo2"/>
      </w:pPr>
      <w:bookmarkStart w:id="0" w:name="_7js5od5u2a4n" w:colFirst="0" w:colLast="0"/>
      <w:bookmarkEnd w:id="0"/>
      <w:r w:rsidRPr="008B4239">
        <w:t>2. Plataforma digital centralizada</w:t>
      </w:r>
    </w:p>
    <w:p w14:paraId="6CC33EB2" w14:textId="77777777" w:rsidR="00B1304C" w:rsidRDefault="00B1304C" w:rsidP="00B1304C">
      <w:pPr>
        <w:numPr>
          <w:ilvl w:val="0"/>
          <w:numId w:val="2"/>
        </w:numPr>
        <w:spacing w:before="240"/>
        <w:ind w:left="348"/>
        <w:rPr>
          <w:rFonts w:eastAsia="Times New Roman" w:cs="Times New Roman"/>
        </w:rPr>
      </w:pPr>
      <w:r>
        <w:rPr>
          <w:rFonts w:eastAsia="Times New Roman" w:cs="Times New Roman"/>
        </w:rPr>
        <w:t>Base de datos nacional: estandarización de formatos y protocolos de envío.</w:t>
      </w:r>
    </w:p>
    <w:p w14:paraId="19492622" w14:textId="77777777" w:rsidR="00B1304C" w:rsidRDefault="00B1304C" w:rsidP="00B1304C">
      <w:pPr>
        <w:numPr>
          <w:ilvl w:val="0"/>
          <w:numId w:val="2"/>
        </w:numPr>
        <w:ind w:left="348"/>
        <w:rPr>
          <w:rFonts w:eastAsia="Times New Roman" w:cs="Times New Roman"/>
        </w:rPr>
      </w:pPr>
      <w:r>
        <w:rPr>
          <w:rFonts w:eastAsia="Times New Roman" w:cs="Times New Roman"/>
        </w:rPr>
        <w:t>Panel de control interactivo: visualización en tiempo real para autoridades y acceso parcial para la ciudadanía.</w:t>
      </w:r>
    </w:p>
    <w:p w14:paraId="26489662" w14:textId="77777777" w:rsidR="00B1304C" w:rsidRDefault="00B1304C" w:rsidP="00B1304C">
      <w:pPr>
        <w:numPr>
          <w:ilvl w:val="0"/>
          <w:numId w:val="2"/>
        </w:numPr>
        <w:ind w:left="348"/>
        <w:rPr>
          <w:rFonts w:eastAsia="Times New Roman" w:cs="Times New Roman"/>
        </w:rPr>
      </w:pPr>
      <w:r>
        <w:rPr>
          <w:rFonts w:eastAsia="Times New Roman" w:cs="Times New Roman"/>
        </w:rPr>
        <w:t>Alertas automáticas en caso de sobreconsumo de agua o incidentes ambientales.</w:t>
      </w:r>
    </w:p>
    <w:p w14:paraId="49BDF1A3" w14:textId="77777777" w:rsidR="00B1304C" w:rsidRDefault="00B1304C" w:rsidP="00B1304C">
      <w:pPr>
        <w:numPr>
          <w:ilvl w:val="0"/>
          <w:numId w:val="2"/>
        </w:numPr>
        <w:spacing w:after="240"/>
        <w:ind w:left="348"/>
        <w:rPr>
          <w:rFonts w:eastAsia="Times New Roman" w:cs="Times New Roman"/>
        </w:rPr>
      </w:pPr>
      <w:r>
        <w:rPr>
          <w:rFonts w:eastAsia="Times New Roman" w:cs="Times New Roman"/>
        </w:rPr>
        <w:t>Módulos analíticos con IA y Big Data para detectar patrones de riesgo o ineficiencia.</w:t>
      </w:r>
    </w:p>
    <w:p w14:paraId="16EBD15C" w14:textId="77777777" w:rsidR="00B1304C" w:rsidRPr="008B4239" w:rsidRDefault="00B1304C" w:rsidP="008B4239">
      <w:pPr>
        <w:pStyle w:val="Ttulo2"/>
      </w:pPr>
      <w:bookmarkStart w:id="1" w:name="_pq6lhdujmgk4" w:colFirst="0" w:colLast="0"/>
      <w:bookmarkEnd w:id="1"/>
      <w:r w:rsidRPr="008B4239">
        <w:t>3. Transparencia y acceso a la información</w:t>
      </w:r>
    </w:p>
    <w:p w14:paraId="6FCB7369" w14:textId="77777777" w:rsidR="00B1304C" w:rsidRDefault="00B1304C" w:rsidP="00B1304C">
      <w:pPr>
        <w:numPr>
          <w:ilvl w:val="0"/>
          <w:numId w:val="1"/>
        </w:numPr>
        <w:spacing w:before="240"/>
        <w:ind w:left="348"/>
        <w:rPr>
          <w:rFonts w:eastAsia="Times New Roman" w:cs="Times New Roman"/>
        </w:rPr>
      </w:pPr>
      <w:r>
        <w:rPr>
          <w:rFonts w:eastAsia="Times New Roman" w:cs="Times New Roman"/>
        </w:rPr>
        <w:t>Portal público abierto: reportes simplificados sobre consumo de agua, recuperación de litio, impacto ambiental.</w:t>
      </w:r>
    </w:p>
    <w:p w14:paraId="6B177DCD" w14:textId="77777777" w:rsidR="00B1304C" w:rsidRDefault="00B1304C" w:rsidP="00B1304C">
      <w:pPr>
        <w:numPr>
          <w:ilvl w:val="0"/>
          <w:numId w:val="1"/>
        </w:numPr>
        <w:ind w:left="348"/>
        <w:rPr>
          <w:rFonts w:eastAsia="Times New Roman" w:cs="Times New Roman"/>
        </w:rPr>
      </w:pPr>
      <w:r>
        <w:rPr>
          <w:rFonts w:eastAsia="Times New Roman" w:cs="Times New Roman"/>
        </w:rPr>
        <w:t>Versiones diferenciadas: acceso completo para reguladores y versiones resumidas para comunidades y ONG.</w:t>
      </w:r>
    </w:p>
    <w:p w14:paraId="7F4208A5" w14:textId="77777777" w:rsidR="00B1304C" w:rsidRDefault="00B1304C" w:rsidP="00B1304C">
      <w:pPr>
        <w:numPr>
          <w:ilvl w:val="0"/>
          <w:numId w:val="1"/>
        </w:numPr>
        <w:spacing w:after="240"/>
        <w:ind w:left="348"/>
        <w:rPr>
          <w:rFonts w:eastAsia="Times New Roman" w:cs="Times New Roman"/>
        </w:rPr>
      </w:pPr>
      <w:r>
        <w:rPr>
          <w:rFonts w:eastAsia="Times New Roman" w:cs="Times New Roman"/>
        </w:rPr>
        <w:t>Sistema de trazabilidad del litio desde su extracción hasta la exportación (certificaciones verdes).</w:t>
      </w:r>
    </w:p>
    <w:p w14:paraId="2352A6CB" w14:textId="77777777" w:rsidR="00B1304C" w:rsidRPr="008B4239" w:rsidRDefault="00B1304C" w:rsidP="008B4239">
      <w:pPr>
        <w:pStyle w:val="Ttulo2"/>
      </w:pPr>
      <w:bookmarkStart w:id="2" w:name="_s7vb6hyfkkw1" w:colFirst="0" w:colLast="0"/>
      <w:bookmarkEnd w:id="2"/>
      <w:r w:rsidRPr="008B4239">
        <w:t>4. Incentivos tecnológicos y regulatorios</w:t>
      </w:r>
    </w:p>
    <w:p w14:paraId="34D56F2C" w14:textId="77777777" w:rsidR="00B1304C" w:rsidRDefault="00B1304C" w:rsidP="00B1304C">
      <w:pPr>
        <w:numPr>
          <w:ilvl w:val="0"/>
          <w:numId w:val="5"/>
        </w:numPr>
        <w:spacing w:before="240"/>
        <w:ind w:left="348"/>
        <w:rPr>
          <w:rFonts w:eastAsia="Times New Roman" w:cs="Times New Roman"/>
        </w:rPr>
      </w:pPr>
      <w:r>
        <w:rPr>
          <w:rFonts w:eastAsia="Times New Roman" w:cs="Times New Roman"/>
        </w:rPr>
        <w:t>Ranking ambiental de empresas: publicado en línea, basado en datos del SIMCAL.</w:t>
      </w:r>
    </w:p>
    <w:p w14:paraId="7B16B203" w14:textId="77777777" w:rsidR="00B1304C" w:rsidRDefault="00B1304C" w:rsidP="00B1304C">
      <w:pPr>
        <w:numPr>
          <w:ilvl w:val="0"/>
          <w:numId w:val="5"/>
        </w:numPr>
        <w:ind w:left="348"/>
        <w:rPr>
          <w:rFonts w:eastAsia="Times New Roman" w:cs="Times New Roman"/>
        </w:rPr>
      </w:pPr>
      <w:r>
        <w:rPr>
          <w:rFonts w:eastAsia="Times New Roman" w:cs="Times New Roman"/>
        </w:rPr>
        <w:t>Premios o beneficios fiscales para las compañías que adopten Extracción Directa de Litio (DLE) u otras tecnologías eficientes.</w:t>
      </w:r>
    </w:p>
    <w:p w14:paraId="30B824C9" w14:textId="77777777" w:rsidR="00B1304C" w:rsidRDefault="00B1304C" w:rsidP="00B1304C">
      <w:pPr>
        <w:numPr>
          <w:ilvl w:val="0"/>
          <w:numId w:val="5"/>
        </w:numPr>
        <w:spacing w:after="240"/>
        <w:ind w:left="348"/>
        <w:rPr>
          <w:rFonts w:eastAsia="Times New Roman" w:cs="Times New Roman"/>
        </w:rPr>
      </w:pPr>
      <w:r>
        <w:rPr>
          <w:rFonts w:eastAsia="Times New Roman" w:cs="Times New Roman"/>
        </w:rPr>
        <w:t>Penalizaciones automáticas ante incumplimientos (ej. reducción de cupos de extracción).</w:t>
      </w:r>
    </w:p>
    <w:p w14:paraId="23680B10" w14:textId="77777777" w:rsidR="00B1304C" w:rsidRPr="008B4239" w:rsidRDefault="00B1304C" w:rsidP="008B4239">
      <w:pPr>
        <w:pStyle w:val="Ttulo2"/>
      </w:pPr>
      <w:bookmarkStart w:id="3" w:name="_3htm8hotlcb6" w:colFirst="0" w:colLast="0"/>
      <w:bookmarkStart w:id="4" w:name="_9ci56gdthhjn" w:colFirst="0" w:colLast="0"/>
      <w:bookmarkEnd w:id="3"/>
      <w:bookmarkEnd w:id="4"/>
      <w:r w:rsidRPr="008B4239">
        <w:lastRenderedPageBreak/>
        <w:t>5. Ciberseguridad y soberanía de datos</w:t>
      </w:r>
    </w:p>
    <w:p w14:paraId="697D28B2" w14:textId="77777777" w:rsidR="00B1304C" w:rsidRDefault="00B1304C" w:rsidP="00B1304C">
      <w:pPr>
        <w:numPr>
          <w:ilvl w:val="0"/>
          <w:numId w:val="6"/>
        </w:numPr>
        <w:spacing w:before="240"/>
        <w:ind w:left="348"/>
        <w:rPr>
          <w:rFonts w:eastAsia="Times New Roman" w:cs="Times New Roman"/>
        </w:rPr>
      </w:pPr>
      <w:r>
        <w:rPr>
          <w:rFonts w:eastAsia="Times New Roman" w:cs="Times New Roman"/>
        </w:rPr>
        <w:t>Almacenamiento en servidores nacionales o nube gubernamental.</w:t>
      </w:r>
    </w:p>
    <w:p w14:paraId="018F243D" w14:textId="77777777" w:rsidR="00B1304C" w:rsidRDefault="00B1304C" w:rsidP="00B1304C">
      <w:pPr>
        <w:numPr>
          <w:ilvl w:val="0"/>
          <w:numId w:val="6"/>
        </w:numPr>
        <w:ind w:left="348"/>
        <w:rPr>
          <w:rFonts w:eastAsia="Times New Roman" w:cs="Times New Roman"/>
        </w:rPr>
      </w:pPr>
      <w:r>
        <w:rPr>
          <w:rFonts w:eastAsia="Times New Roman" w:cs="Times New Roman"/>
        </w:rPr>
        <w:t>Protocolos de encriptación para proteger información sensible.</w:t>
      </w:r>
    </w:p>
    <w:p w14:paraId="6B6DD707" w14:textId="77777777" w:rsidR="00B1304C" w:rsidRDefault="00B1304C" w:rsidP="00B1304C">
      <w:pPr>
        <w:numPr>
          <w:ilvl w:val="0"/>
          <w:numId w:val="6"/>
        </w:numPr>
        <w:spacing w:after="240"/>
        <w:ind w:left="348"/>
        <w:rPr>
          <w:rFonts w:eastAsia="Times New Roman" w:cs="Times New Roman"/>
        </w:rPr>
      </w:pPr>
      <w:r>
        <w:rPr>
          <w:rFonts w:eastAsia="Times New Roman" w:cs="Times New Roman"/>
        </w:rPr>
        <w:t>Control de acceso jerárquico para evitar manipulación o fuga de datos.</w:t>
      </w:r>
    </w:p>
    <w:p w14:paraId="6FDF2173" w14:textId="77777777" w:rsidR="00B1304C" w:rsidRPr="008B4239" w:rsidRDefault="00B1304C" w:rsidP="008B4239">
      <w:pPr>
        <w:pStyle w:val="Ttulo2"/>
      </w:pPr>
      <w:bookmarkStart w:id="5" w:name="_i5p5oxl4yl6g" w:colFirst="0" w:colLast="0"/>
      <w:bookmarkEnd w:id="5"/>
      <w:r w:rsidRPr="008B4239">
        <w:t>6. Educación y capacitación</w:t>
      </w:r>
    </w:p>
    <w:p w14:paraId="5E133289" w14:textId="77777777" w:rsidR="00B1304C" w:rsidRDefault="00B1304C" w:rsidP="007D3D5B">
      <w:pPr>
        <w:numPr>
          <w:ilvl w:val="0"/>
          <w:numId w:val="4"/>
        </w:numPr>
        <w:spacing w:before="240"/>
        <w:ind w:left="426"/>
        <w:rPr>
          <w:rFonts w:eastAsia="Times New Roman" w:cs="Times New Roman"/>
        </w:rPr>
      </w:pPr>
      <w:r>
        <w:rPr>
          <w:rFonts w:eastAsia="Times New Roman" w:cs="Times New Roman"/>
        </w:rPr>
        <w:t>Capacitación de técnicos locales para instalación y mantenimiento de sensores.</w:t>
      </w:r>
    </w:p>
    <w:p w14:paraId="2186920E" w14:textId="77777777" w:rsidR="00B1304C" w:rsidRDefault="00B1304C" w:rsidP="007D3D5B">
      <w:pPr>
        <w:numPr>
          <w:ilvl w:val="0"/>
          <w:numId w:val="4"/>
        </w:numPr>
        <w:ind w:left="426"/>
        <w:rPr>
          <w:rFonts w:eastAsia="Times New Roman" w:cs="Times New Roman"/>
        </w:rPr>
      </w:pPr>
      <w:r>
        <w:rPr>
          <w:rFonts w:eastAsia="Times New Roman" w:cs="Times New Roman"/>
        </w:rPr>
        <w:t>Programas de formación en análisis de datos para autoridades y comunidades.</w:t>
      </w:r>
    </w:p>
    <w:p w14:paraId="429DE639" w14:textId="77777777" w:rsidR="00B1304C" w:rsidRPr="00270D1D" w:rsidRDefault="00B1304C" w:rsidP="007D3D5B">
      <w:pPr>
        <w:numPr>
          <w:ilvl w:val="0"/>
          <w:numId w:val="4"/>
        </w:numPr>
        <w:spacing w:after="240"/>
        <w:ind w:left="426"/>
        <w:rPr>
          <w:rFonts w:eastAsia="Times New Roman" w:cs="Times New Roman"/>
        </w:rPr>
      </w:pPr>
      <w:r>
        <w:rPr>
          <w:rFonts w:eastAsia="Times New Roman" w:cs="Times New Roman"/>
        </w:rPr>
        <w:t>Transferencia tecnológica con universidades nacionales y centros de investigación.</w:t>
      </w:r>
      <w:bookmarkStart w:id="6" w:name="_siiitkg5zx81" w:colFirst="0" w:colLast="0"/>
      <w:bookmarkEnd w:id="6"/>
    </w:p>
    <w:p w14:paraId="5FF071BD" w14:textId="508E9B26" w:rsidR="008A794E" w:rsidRPr="008A794E" w:rsidRDefault="008A794E" w:rsidP="008A794E">
      <w:pPr>
        <w:pStyle w:val="Ttulo2"/>
      </w:pPr>
      <w:r w:rsidRPr="008A794E">
        <w:t>7. Mantenimiento y actualización tecnológica</w:t>
      </w:r>
    </w:p>
    <w:p w14:paraId="18274293" w14:textId="77777777" w:rsidR="008A794E" w:rsidRPr="008A794E" w:rsidRDefault="008A794E" w:rsidP="008A794E">
      <w:pPr>
        <w:numPr>
          <w:ilvl w:val="0"/>
          <w:numId w:val="4"/>
        </w:numPr>
        <w:spacing w:before="240"/>
        <w:ind w:left="426"/>
        <w:rPr>
          <w:rFonts w:eastAsia="Times New Roman" w:cs="Times New Roman"/>
        </w:rPr>
      </w:pPr>
      <w:r w:rsidRPr="008A794E">
        <w:rPr>
          <w:rFonts w:eastAsia="Times New Roman" w:cs="Times New Roman"/>
        </w:rPr>
        <w:t>Incluir un plan de actualización periódica de hardware y software</w:t>
      </w:r>
    </w:p>
    <w:p w14:paraId="114E9411" w14:textId="77777777" w:rsidR="008A794E" w:rsidRPr="008A794E" w:rsidRDefault="008A794E" w:rsidP="008A794E">
      <w:pPr>
        <w:numPr>
          <w:ilvl w:val="0"/>
          <w:numId w:val="4"/>
        </w:numPr>
        <w:spacing w:before="240"/>
        <w:ind w:left="426"/>
        <w:rPr>
          <w:rFonts w:eastAsia="Times New Roman" w:cs="Times New Roman"/>
        </w:rPr>
      </w:pPr>
      <w:r w:rsidRPr="008A794E">
        <w:rPr>
          <w:rFonts w:eastAsia="Times New Roman" w:cs="Times New Roman"/>
        </w:rPr>
        <w:t>Tener presupuestos destinados a evitar obsolescencia</w:t>
      </w:r>
    </w:p>
    <w:p w14:paraId="6FFCC53E" w14:textId="7B8DB314" w:rsidR="008A794E" w:rsidRPr="008A794E" w:rsidRDefault="008A794E" w:rsidP="008A794E">
      <w:pPr>
        <w:numPr>
          <w:ilvl w:val="0"/>
          <w:numId w:val="4"/>
        </w:numPr>
        <w:spacing w:before="240"/>
        <w:ind w:left="426"/>
        <w:rPr>
          <w:rFonts w:eastAsia="Times New Roman" w:cs="Times New Roman"/>
        </w:rPr>
      </w:pPr>
      <w:r w:rsidRPr="008A794E">
        <w:rPr>
          <w:rFonts w:eastAsia="Times New Roman" w:cs="Times New Roman"/>
        </w:rPr>
        <w:t>Garantizar la continuidad del sistema.</w:t>
      </w:r>
    </w:p>
    <w:p w14:paraId="4F27CE8A" w14:textId="45EC33D4" w:rsidR="008A794E" w:rsidRPr="008A794E" w:rsidRDefault="008A794E" w:rsidP="008A794E">
      <w:pPr>
        <w:pStyle w:val="Ttulo2"/>
      </w:pPr>
      <w:r>
        <w:t xml:space="preserve">8. </w:t>
      </w:r>
      <w:r w:rsidRPr="008A794E">
        <w:t>Vinculación con investigación y desarrollo (I+D)</w:t>
      </w:r>
    </w:p>
    <w:p w14:paraId="4B4B1673" w14:textId="01BB1C71" w:rsidR="008A794E" w:rsidRPr="008A794E" w:rsidRDefault="008A794E" w:rsidP="008A794E">
      <w:pPr>
        <w:pStyle w:val="Prrafodelista"/>
        <w:numPr>
          <w:ilvl w:val="0"/>
          <w:numId w:val="13"/>
        </w:numPr>
        <w:spacing w:before="100" w:beforeAutospacing="1" w:after="100" w:afterAutospacing="1" w:line="240" w:lineRule="auto"/>
        <w:ind w:left="426"/>
        <w:jc w:val="left"/>
        <w:rPr>
          <w:rFonts w:eastAsia="Times New Roman" w:cs="Times New Roman"/>
          <w:kern w:val="0"/>
          <w:lang w:eastAsia="es-AR"/>
          <w14:ligatures w14:val="none"/>
        </w:rPr>
      </w:pPr>
      <w:r w:rsidRPr="008A794E">
        <w:rPr>
          <w:rFonts w:eastAsia="Times New Roman" w:cs="Times New Roman"/>
        </w:rPr>
        <w:t>Integrar universidades, centros de investigación y startups para aprovechar los datos del</w:t>
      </w:r>
      <w:r w:rsidRPr="008A794E">
        <w:rPr>
          <w:rFonts w:eastAsia="Times New Roman" w:cs="Times New Roman"/>
          <w:kern w:val="0"/>
          <w:lang w:eastAsia="es-AR"/>
          <w14:ligatures w14:val="none"/>
        </w:rPr>
        <w:t xml:space="preserve"> SIMCAL en proyectos de innovación tecnológica y nuevas prácticas sostenibles.</w:t>
      </w:r>
    </w:p>
    <w:p w14:paraId="501B191A" w14:textId="7DD57988" w:rsidR="008A794E" w:rsidRPr="008A794E" w:rsidRDefault="008A794E" w:rsidP="008A794E">
      <w:pPr>
        <w:pStyle w:val="Ttulo2"/>
      </w:pPr>
      <w:r>
        <w:t xml:space="preserve">9. </w:t>
      </w:r>
      <w:r w:rsidRPr="008A794E">
        <w:t>Interoperabilidad y estandarización</w:t>
      </w:r>
    </w:p>
    <w:p w14:paraId="3A9EE871" w14:textId="5F5A4CD6" w:rsidR="008A794E" w:rsidRPr="008A794E" w:rsidRDefault="008A794E" w:rsidP="008A794E">
      <w:pPr>
        <w:pStyle w:val="Prrafodelista"/>
        <w:numPr>
          <w:ilvl w:val="0"/>
          <w:numId w:val="13"/>
        </w:numPr>
        <w:spacing w:before="100" w:beforeAutospacing="1" w:after="100" w:afterAutospacing="1" w:line="240" w:lineRule="auto"/>
        <w:ind w:left="426"/>
        <w:jc w:val="left"/>
        <w:rPr>
          <w:rFonts w:eastAsia="Times New Roman" w:cs="Times New Roman"/>
          <w:kern w:val="0"/>
          <w:lang w:eastAsia="es-AR"/>
          <w14:ligatures w14:val="none"/>
        </w:rPr>
      </w:pPr>
      <w:r w:rsidRPr="008A794E">
        <w:rPr>
          <w:rFonts w:eastAsia="Times New Roman" w:cs="Times New Roman"/>
          <w:kern w:val="0"/>
          <w:lang w:eastAsia="es-AR"/>
          <w14:ligatures w14:val="none"/>
        </w:rPr>
        <w:t>Definir protocolos técnicos comunes para que los datos generados por todas las provincias y empresas mineras</w:t>
      </w:r>
      <w:r>
        <w:rPr>
          <w:rFonts w:eastAsia="Times New Roman" w:cs="Times New Roman"/>
          <w:kern w:val="0"/>
          <w:lang w:eastAsia="es-AR"/>
          <w14:ligatures w14:val="none"/>
        </w:rPr>
        <w:t xml:space="preserve"> para que</w:t>
      </w:r>
      <w:r w:rsidRPr="008A794E">
        <w:rPr>
          <w:rFonts w:eastAsia="Times New Roman" w:cs="Times New Roman"/>
          <w:kern w:val="0"/>
          <w:lang w:eastAsia="es-AR"/>
          <w14:ligatures w14:val="none"/>
        </w:rPr>
        <w:t xml:space="preserve"> sean compatibles y comparables.</w:t>
      </w:r>
    </w:p>
    <w:p w14:paraId="6C7BAFB8" w14:textId="0965CD53" w:rsidR="008A794E" w:rsidRPr="008A794E" w:rsidRDefault="008A794E" w:rsidP="008A794E">
      <w:pPr>
        <w:pStyle w:val="Ttulo2"/>
      </w:pPr>
      <w:r>
        <w:t xml:space="preserve">10. </w:t>
      </w:r>
      <w:r w:rsidRPr="008A794E">
        <w:t>Resiliencia y conectividad en zonas remotas</w:t>
      </w:r>
    </w:p>
    <w:p w14:paraId="432A5D12" w14:textId="524303FC" w:rsidR="008A794E" w:rsidRPr="008A794E" w:rsidRDefault="008A794E" w:rsidP="008A794E">
      <w:pPr>
        <w:pStyle w:val="Prrafodelista"/>
        <w:numPr>
          <w:ilvl w:val="0"/>
          <w:numId w:val="13"/>
        </w:numPr>
        <w:spacing w:before="100" w:beforeAutospacing="1" w:after="100" w:afterAutospacing="1" w:line="240" w:lineRule="auto"/>
        <w:ind w:left="426"/>
        <w:jc w:val="left"/>
        <w:rPr>
          <w:rFonts w:eastAsia="Times New Roman" w:cs="Times New Roman"/>
          <w:kern w:val="0"/>
          <w:lang w:eastAsia="es-AR"/>
          <w14:ligatures w14:val="none"/>
        </w:rPr>
      </w:pPr>
      <w:r w:rsidRPr="008A794E">
        <w:rPr>
          <w:rFonts w:eastAsia="Times New Roman" w:cs="Times New Roman"/>
          <w:kern w:val="0"/>
          <w:lang w:eastAsia="es-AR"/>
          <w14:ligatures w14:val="none"/>
        </w:rPr>
        <w:t xml:space="preserve">Diseñar soluciones específicas para la transmisión de datos en áreas sin infraestructura (ej. redes satelitales, </w:t>
      </w:r>
      <w:proofErr w:type="spellStart"/>
      <w:r w:rsidRPr="008A794E">
        <w:rPr>
          <w:rFonts w:eastAsia="Times New Roman" w:cs="Times New Roman"/>
          <w:kern w:val="0"/>
          <w:lang w:eastAsia="es-AR"/>
          <w14:ligatures w14:val="none"/>
        </w:rPr>
        <w:t>LoRaWAN</w:t>
      </w:r>
      <w:proofErr w:type="spellEnd"/>
      <w:r w:rsidRPr="008A794E">
        <w:rPr>
          <w:rFonts w:eastAsia="Times New Roman" w:cs="Times New Roman"/>
          <w:kern w:val="0"/>
          <w:lang w:eastAsia="es-AR"/>
          <w14:ligatures w14:val="none"/>
        </w:rPr>
        <w:t>, estaciones móviles autónomas).</w:t>
      </w:r>
    </w:p>
    <w:p w14:paraId="2F53CD6F" w14:textId="77777777" w:rsidR="00B71B78" w:rsidRDefault="00B71B78" w:rsidP="008A794E">
      <w:pPr>
        <w:ind w:left="66"/>
      </w:pPr>
    </w:p>
    <w:p w14:paraId="740A6D56" w14:textId="77777777" w:rsidR="00672DB1" w:rsidRDefault="00672DB1" w:rsidP="008A794E">
      <w:pPr>
        <w:ind w:left="66"/>
      </w:pPr>
    </w:p>
    <w:p w14:paraId="66EB69CD" w14:textId="77777777" w:rsidR="00672DB1" w:rsidRDefault="00672DB1">
      <w:pPr>
        <w:spacing w:after="160" w:line="278" w:lineRule="auto"/>
        <w:jc w:val="left"/>
      </w:pPr>
      <w:r>
        <w:br w:type="page"/>
      </w:r>
    </w:p>
    <w:p w14:paraId="29BF9432" w14:textId="77777777" w:rsidR="00672DB1" w:rsidRPr="00672DB1" w:rsidRDefault="00672DB1" w:rsidP="00672DB1">
      <w:pPr>
        <w:ind w:left="66"/>
        <w:rPr>
          <w:b/>
          <w:bCs/>
        </w:rPr>
      </w:pPr>
      <w:r w:rsidRPr="00672DB1">
        <w:rPr>
          <w:rFonts w:ascii="Segoe UI Emoji" w:hAnsi="Segoe UI Emoji" w:cs="Segoe UI Emoji"/>
          <w:b/>
          <w:bCs/>
        </w:rPr>
        <w:lastRenderedPageBreak/>
        <w:t>📝</w:t>
      </w:r>
      <w:r w:rsidRPr="00672DB1">
        <w:rPr>
          <w:b/>
          <w:bCs/>
        </w:rPr>
        <w:t xml:space="preserve"> Fundamento – Enfoque Tecnológico</w:t>
      </w:r>
    </w:p>
    <w:p w14:paraId="35A4FDBC" w14:textId="77777777" w:rsidR="00672DB1" w:rsidRPr="00672DB1" w:rsidRDefault="00672DB1" w:rsidP="00672DB1">
      <w:pPr>
        <w:ind w:left="66"/>
      </w:pPr>
      <w:r w:rsidRPr="00672DB1">
        <w:t>Desde el enfoque tecnológico, la creación del SIMCAL representa una oportunidad clave para modernizar y transparentar la minería de litio en Argentina. La implementación de una infraestructura de monitoreo con sensores y dispositivos de última generación, junto con una plataforma digital centralizada y segura, permitiría al Estado y a la sociedad acceder a información confiable en tiempo real. Esto no solo fortalecería el control gubernamental y la toma de decisiones basadas en evidencia, sino que también impulsaría la adopción de tecnologías más sostenibles mediante incentivos regulatorios y programas de capacitación. En contraste, la ausencia de este sistema perpetuaría la fragmentación de datos, la falta de trazabilidad y el riesgo de prácticas extractivas poco eficientes o dañinas para el ambiente, limitando la capacidad del país para gestionar de manera soberana un recurso estratégico como el litio.</w:t>
      </w:r>
    </w:p>
    <w:p w14:paraId="65BC552B" w14:textId="5F8EA67C" w:rsidR="00672DB1" w:rsidRDefault="00672DB1">
      <w:pPr>
        <w:spacing w:after="160" w:line="278" w:lineRule="auto"/>
        <w:jc w:val="left"/>
      </w:pPr>
    </w:p>
    <w:p w14:paraId="0A2A465F" w14:textId="7046C339" w:rsidR="00672DB1" w:rsidRDefault="00672DB1" w:rsidP="00672DB1">
      <w:pPr>
        <w:ind w:left="66"/>
      </w:pPr>
      <w:r>
        <w:t>Resumida:</w:t>
      </w:r>
    </w:p>
    <w:p w14:paraId="7652892C" w14:textId="77777777" w:rsidR="00672DB1" w:rsidRDefault="00672DB1" w:rsidP="00672DB1">
      <w:pPr>
        <w:ind w:left="66"/>
      </w:pPr>
    </w:p>
    <w:p w14:paraId="2569D8EE" w14:textId="683C158D" w:rsidR="00486362" w:rsidRDefault="00F61E7E" w:rsidP="00F61E7E">
      <w:pPr>
        <w:ind w:left="66"/>
      </w:pPr>
      <w:r>
        <w:t>El</w:t>
      </w:r>
      <w:r w:rsidR="00672DB1" w:rsidRPr="00672DB1">
        <w:t xml:space="preserve"> SIMCAL se justifica como una herramienta indispensable para unificar y modernizar el control de la minería de litio en Argentina. La combinación de infraestructura de monitoreo,</w:t>
      </w:r>
      <w:r>
        <w:t xml:space="preserve"> una</w:t>
      </w:r>
      <w:r w:rsidR="00672DB1" w:rsidRPr="00672DB1">
        <w:t xml:space="preserve"> plataforma digital centralizada y medidas de ciberseguridad permitiría generar información confiable en tiempo real, favoreciendo la transparencia y la sostenibilidad. Su implementación impulsaría además la capacitación técnica y la innovación en los procesos extractivos. En cambio, no adoptarlo implicaría mantener la fragmentación de datos y el riesgo de prácticas poco eficientes o dañinas para el ambiente.</w:t>
      </w:r>
    </w:p>
    <w:p w14:paraId="5E7F19DB" w14:textId="77777777" w:rsidR="00486362" w:rsidRDefault="00486362">
      <w:pPr>
        <w:spacing w:after="160" w:line="278" w:lineRule="auto"/>
        <w:jc w:val="left"/>
        <w:rPr>
          <w:b/>
          <w:bCs/>
        </w:rPr>
      </w:pPr>
      <w:r>
        <w:rPr>
          <w:b/>
          <w:bCs/>
        </w:rPr>
        <w:br w:type="page"/>
      </w:r>
    </w:p>
    <w:p w14:paraId="0EC3CFB1" w14:textId="73E620A4" w:rsidR="00486362" w:rsidRPr="00486362" w:rsidRDefault="00486362" w:rsidP="00486362">
      <w:pPr>
        <w:ind w:left="66"/>
        <w:rPr>
          <w:b/>
          <w:bCs/>
        </w:rPr>
      </w:pPr>
      <w:r w:rsidRPr="00486362">
        <w:rPr>
          <w:b/>
          <w:bCs/>
        </w:rPr>
        <w:lastRenderedPageBreak/>
        <w:t>Grupo de lectores principal</w:t>
      </w:r>
    </w:p>
    <w:p w14:paraId="09036896" w14:textId="77777777" w:rsidR="00486362" w:rsidRPr="00486362" w:rsidRDefault="00486362" w:rsidP="00486362">
      <w:pPr>
        <w:ind w:left="66"/>
      </w:pPr>
      <w:r w:rsidRPr="00486362">
        <w:rPr>
          <w:b/>
          <w:bCs/>
        </w:rPr>
        <w:t>Gerentes / responsables de decisión en el gobierno nacional y provincial</w:t>
      </w:r>
      <w:r w:rsidRPr="00486362">
        <w:t>.</w:t>
      </w:r>
      <w:r w:rsidRPr="00486362">
        <w:br/>
        <w:t>Son quienes tienen la capacidad política, administrativa y presupuestaria de aprobar la creación del sistema y exigir su cumplimiento a las empresas mineras.</w:t>
      </w:r>
    </w:p>
    <w:p w14:paraId="62CFE735" w14:textId="77777777" w:rsidR="00486362" w:rsidRPr="00486362" w:rsidRDefault="00000000" w:rsidP="00486362">
      <w:pPr>
        <w:ind w:left="66"/>
      </w:pPr>
      <w:r>
        <w:pict w14:anchorId="624E0909">
          <v:rect id="_x0000_i1026" style="width:0;height:1.5pt" o:hralign="center" o:hrstd="t" o:hr="t" fillcolor="#a0a0a0" stroked="f"/>
        </w:pict>
      </w:r>
    </w:p>
    <w:p w14:paraId="5CE5B63E" w14:textId="77777777" w:rsidR="00486362" w:rsidRPr="00486362" w:rsidRDefault="00486362" w:rsidP="00486362">
      <w:pPr>
        <w:ind w:left="66"/>
        <w:rPr>
          <w:b/>
          <w:bCs/>
        </w:rPr>
      </w:pPr>
      <w:r w:rsidRPr="00486362">
        <w:rPr>
          <w:b/>
          <w:bCs/>
        </w:rPr>
        <w:t>Perfil de audiencia</w:t>
      </w:r>
    </w:p>
    <w:p w14:paraId="738D4821" w14:textId="77777777" w:rsidR="00486362" w:rsidRPr="00486362" w:rsidRDefault="00486362" w:rsidP="00486362">
      <w:pPr>
        <w:numPr>
          <w:ilvl w:val="0"/>
          <w:numId w:val="14"/>
        </w:numPr>
      </w:pPr>
      <w:r w:rsidRPr="00486362">
        <w:rPr>
          <w:b/>
          <w:bCs/>
        </w:rPr>
        <w:t>Audiencia</w:t>
      </w:r>
      <w:r w:rsidRPr="00486362">
        <w:t>: Autoridades del Ministerio de Ambiente y Desarrollo Sostenible de la Nación, Secretaría de Minería, y organismos provinciales con poder de decisión regulatoria.</w:t>
      </w:r>
    </w:p>
    <w:p w14:paraId="0E151181" w14:textId="77777777" w:rsidR="00486362" w:rsidRPr="00486362" w:rsidRDefault="00486362" w:rsidP="00486362">
      <w:pPr>
        <w:numPr>
          <w:ilvl w:val="0"/>
          <w:numId w:val="14"/>
        </w:numPr>
      </w:pPr>
      <w:r w:rsidRPr="00486362">
        <w:rPr>
          <w:b/>
          <w:bCs/>
        </w:rPr>
        <w:t>Conocimientos</w:t>
      </w:r>
      <w:r w:rsidRPr="00486362">
        <w:t>:</w:t>
      </w:r>
    </w:p>
    <w:p w14:paraId="594D2A8C" w14:textId="77777777" w:rsidR="00486362" w:rsidRPr="00486362" w:rsidRDefault="00486362" w:rsidP="00486362">
      <w:pPr>
        <w:numPr>
          <w:ilvl w:val="1"/>
          <w:numId w:val="14"/>
        </w:numPr>
      </w:pPr>
      <w:r w:rsidRPr="00486362">
        <w:t>Conocen el marco legal vigente y los conflictos sociales asociados a la minería.</w:t>
      </w:r>
    </w:p>
    <w:p w14:paraId="00662EE8" w14:textId="77777777" w:rsidR="00486362" w:rsidRPr="00486362" w:rsidRDefault="00486362" w:rsidP="00486362">
      <w:pPr>
        <w:numPr>
          <w:ilvl w:val="1"/>
          <w:numId w:val="14"/>
        </w:numPr>
      </w:pPr>
      <w:r w:rsidRPr="00486362">
        <w:t>Poseen un nivel limitado en lo técnico-científico (sensores, monitoreo, algoritmos de control), por lo que será necesario explicar de manera clara las ventajas y funcionalidades del SIMCAL sin exceso de tecnicismos.</w:t>
      </w:r>
    </w:p>
    <w:p w14:paraId="6B2218ED" w14:textId="77777777" w:rsidR="00486362" w:rsidRPr="00486362" w:rsidRDefault="00486362" w:rsidP="00486362">
      <w:pPr>
        <w:numPr>
          <w:ilvl w:val="0"/>
          <w:numId w:val="14"/>
        </w:numPr>
      </w:pPr>
      <w:r w:rsidRPr="00486362">
        <w:rPr>
          <w:b/>
          <w:bCs/>
        </w:rPr>
        <w:t>Estatus</w:t>
      </w:r>
      <w:r w:rsidRPr="00486362">
        <w:t>: Son decisores políticos de alto nivel, con capacidad de asignar fondos, aprobar normativas y coordinar con provincias y empresas.</w:t>
      </w:r>
    </w:p>
    <w:p w14:paraId="1623211B" w14:textId="77777777" w:rsidR="00486362" w:rsidRPr="00486362" w:rsidRDefault="00486362" w:rsidP="00486362">
      <w:pPr>
        <w:numPr>
          <w:ilvl w:val="0"/>
          <w:numId w:val="14"/>
        </w:numPr>
      </w:pPr>
      <w:r w:rsidRPr="00486362">
        <w:rPr>
          <w:b/>
          <w:bCs/>
        </w:rPr>
        <w:t>Necesidades</w:t>
      </w:r>
      <w:r w:rsidRPr="00486362">
        <w:t>:</w:t>
      </w:r>
    </w:p>
    <w:p w14:paraId="5CB9C4F9" w14:textId="77777777" w:rsidR="00486362" w:rsidRPr="00486362" w:rsidRDefault="00486362" w:rsidP="00486362">
      <w:pPr>
        <w:numPr>
          <w:ilvl w:val="1"/>
          <w:numId w:val="14"/>
        </w:numPr>
      </w:pPr>
      <w:r w:rsidRPr="00486362">
        <w:t>Contar con información confiable y centralizada para tomar decisiones regulatorias.</w:t>
      </w:r>
    </w:p>
    <w:p w14:paraId="5DC67F30" w14:textId="77777777" w:rsidR="00486362" w:rsidRPr="00486362" w:rsidRDefault="00486362" w:rsidP="00486362">
      <w:pPr>
        <w:numPr>
          <w:ilvl w:val="1"/>
          <w:numId w:val="14"/>
        </w:numPr>
      </w:pPr>
      <w:r w:rsidRPr="00486362">
        <w:t>Reducir los conflictos sociales y ambientales.</w:t>
      </w:r>
    </w:p>
    <w:p w14:paraId="230A4282" w14:textId="77777777" w:rsidR="00486362" w:rsidRPr="00486362" w:rsidRDefault="00486362" w:rsidP="00486362">
      <w:pPr>
        <w:numPr>
          <w:ilvl w:val="1"/>
          <w:numId w:val="14"/>
        </w:numPr>
      </w:pPr>
      <w:r w:rsidRPr="00486362">
        <w:t>Garantizar transparencia en la actividad minera y evitar sanciones internacionales o pérdida de legitimidad social.</w:t>
      </w:r>
    </w:p>
    <w:p w14:paraId="5BA6488C" w14:textId="77777777" w:rsidR="00486362" w:rsidRPr="00486362" w:rsidRDefault="00486362" w:rsidP="00486362">
      <w:pPr>
        <w:numPr>
          <w:ilvl w:val="0"/>
          <w:numId w:val="14"/>
        </w:numPr>
      </w:pPr>
      <w:r w:rsidRPr="00486362">
        <w:rPr>
          <w:b/>
          <w:bCs/>
        </w:rPr>
        <w:t>Actitud</w:t>
      </w:r>
      <w:r w:rsidRPr="00486362">
        <w:t>:</w:t>
      </w:r>
    </w:p>
    <w:p w14:paraId="1539FC1A" w14:textId="77777777" w:rsidR="00486362" w:rsidRPr="00486362" w:rsidRDefault="00486362" w:rsidP="00486362">
      <w:pPr>
        <w:numPr>
          <w:ilvl w:val="1"/>
          <w:numId w:val="14"/>
        </w:numPr>
      </w:pPr>
      <w:r w:rsidRPr="00486362">
        <w:t>Receptiva, en la medida en que la propuesta se presente como una solución viable, que fortalece el rol del Estado y mejora la imagen pública.</w:t>
      </w:r>
    </w:p>
    <w:p w14:paraId="6C8931BB" w14:textId="77777777" w:rsidR="00486362" w:rsidRPr="00486362" w:rsidRDefault="00486362" w:rsidP="00486362">
      <w:pPr>
        <w:numPr>
          <w:ilvl w:val="1"/>
          <w:numId w:val="14"/>
        </w:numPr>
      </w:pPr>
      <w:r w:rsidRPr="00486362">
        <w:t>Pueden mostrar resistencia si perciben que el sistema implica costos excesivos o dificultades de implementación, por lo que la propuesta debe enfatizar eficiencia, viabilidad y beneficios concretos.</w:t>
      </w:r>
    </w:p>
    <w:p w14:paraId="6645CD4A" w14:textId="77777777" w:rsidR="00486362" w:rsidRPr="00486362" w:rsidRDefault="00000000" w:rsidP="00486362">
      <w:pPr>
        <w:ind w:left="66"/>
      </w:pPr>
      <w:r>
        <w:pict w14:anchorId="66BD7F26">
          <v:rect id="_x0000_i1027" style="width:0;height:1.5pt" o:hralign="center" o:hrstd="t" o:hr="t" fillcolor="#a0a0a0" stroked="f"/>
        </w:pict>
      </w:r>
    </w:p>
    <w:p w14:paraId="1EEC4796" w14:textId="69830EC5" w:rsidR="00486362" w:rsidRDefault="00486362" w:rsidP="00486362">
      <w:pPr>
        <w:ind w:left="66"/>
      </w:pPr>
      <w:r w:rsidRPr="00486362">
        <w:rPr>
          <w:rFonts w:ascii="Segoe UI Emoji" w:hAnsi="Segoe UI Emoji" w:cs="Segoe UI Emoji"/>
        </w:rPr>
        <w:t>👉</w:t>
      </w:r>
      <w:r w:rsidRPr="00486362">
        <w:t xml:space="preserve"> En resumen, la audiencia más adecuada es </w:t>
      </w:r>
      <w:r w:rsidRPr="00486362">
        <w:rPr>
          <w:b/>
          <w:bCs/>
        </w:rPr>
        <w:t>el gobierno nacional y los organismos provinciales decisores</w:t>
      </w:r>
      <w:r w:rsidRPr="00486362">
        <w:t xml:space="preserve">, tratados como </w:t>
      </w:r>
      <w:r w:rsidRPr="00486362">
        <w:rPr>
          <w:b/>
          <w:bCs/>
        </w:rPr>
        <w:t>gerentes</w:t>
      </w:r>
      <w:r w:rsidRPr="00486362">
        <w:t xml:space="preserve"> (en la clasificación de la Guía1). El documento debe resaltar beneficios económicos, sociales y políticos, más que la explicación técnica profunda.</w:t>
      </w:r>
      <w:r>
        <w:br w:type="page"/>
      </w:r>
    </w:p>
    <w:p w14:paraId="6FFE9E9B" w14:textId="77777777" w:rsidR="00486362" w:rsidRPr="00486362" w:rsidRDefault="00486362" w:rsidP="00486362">
      <w:pPr>
        <w:ind w:left="66"/>
      </w:pPr>
    </w:p>
    <w:p w14:paraId="56B8A322" w14:textId="77777777" w:rsidR="00486362" w:rsidRDefault="00486362" w:rsidP="00672DB1">
      <w:pPr>
        <w:ind w:left="66"/>
      </w:pPr>
    </w:p>
    <w:sectPr w:rsidR="004863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1F73"/>
    <w:multiLevelType w:val="hybridMultilevel"/>
    <w:tmpl w:val="D3BC714A"/>
    <w:lvl w:ilvl="0" w:tplc="A6C2EC74">
      <w:start w:val="7"/>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 w15:restartNumberingAfterBreak="0">
    <w:nsid w:val="14A22D35"/>
    <w:multiLevelType w:val="multilevel"/>
    <w:tmpl w:val="250A5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835873"/>
    <w:multiLevelType w:val="multilevel"/>
    <w:tmpl w:val="1D9EBC34"/>
    <w:lvl w:ilvl="0">
      <w:start w:val="1"/>
      <w:numFmt w:val="bullet"/>
      <w:lvlText w:val="●"/>
      <w:lvlJc w:val="left"/>
      <w:pPr>
        <w:ind w:left="850" w:hanging="359"/>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4144173"/>
    <w:multiLevelType w:val="hybridMultilevel"/>
    <w:tmpl w:val="49ACCD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B4A6DE8"/>
    <w:multiLevelType w:val="multilevel"/>
    <w:tmpl w:val="6DFCE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004D76"/>
    <w:multiLevelType w:val="multilevel"/>
    <w:tmpl w:val="D974C5F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05A29"/>
    <w:multiLevelType w:val="multilevel"/>
    <w:tmpl w:val="4D24E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253B1D"/>
    <w:multiLevelType w:val="multilevel"/>
    <w:tmpl w:val="EAC67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209F5"/>
    <w:multiLevelType w:val="multilevel"/>
    <w:tmpl w:val="5FA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22937"/>
    <w:multiLevelType w:val="multilevel"/>
    <w:tmpl w:val="B550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B86DBD"/>
    <w:multiLevelType w:val="multilevel"/>
    <w:tmpl w:val="93B4D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B0334F"/>
    <w:multiLevelType w:val="multilevel"/>
    <w:tmpl w:val="1CC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447D5"/>
    <w:multiLevelType w:val="multilevel"/>
    <w:tmpl w:val="0E5E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0B0139"/>
    <w:multiLevelType w:val="multilevel"/>
    <w:tmpl w:val="129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217DE"/>
    <w:multiLevelType w:val="hybridMultilevel"/>
    <w:tmpl w:val="CFB27E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2711B70"/>
    <w:multiLevelType w:val="hybridMultilevel"/>
    <w:tmpl w:val="922AC1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A0E35A0"/>
    <w:multiLevelType w:val="hybridMultilevel"/>
    <w:tmpl w:val="F316306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702557218">
    <w:abstractNumId w:val="4"/>
  </w:num>
  <w:num w:numId="2" w16cid:durableId="498469528">
    <w:abstractNumId w:val="10"/>
  </w:num>
  <w:num w:numId="3" w16cid:durableId="801384529">
    <w:abstractNumId w:val="9"/>
  </w:num>
  <w:num w:numId="4" w16cid:durableId="1246186124">
    <w:abstractNumId w:val="12"/>
  </w:num>
  <w:num w:numId="5" w16cid:durableId="2091148212">
    <w:abstractNumId w:val="6"/>
  </w:num>
  <w:num w:numId="6" w16cid:durableId="1978023427">
    <w:abstractNumId w:val="1"/>
  </w:num>
  <w:num w:numId="7" w16cid:durableId="997614478">
    <w:abstractNumId w:val="2"/>
  </w:num>
  <w:num w:numId="8" w16cid:durableId="520052388">
    <w:abstractNumId w:val="5"/>
  </w:num>
  <w:num w:numId="9" w16cid:durableId="538669005">
    <w:abstractNumId w:val="13"/>
  </w:num>
  <w:num w:numId="10" w16cid:durableId="1231698096">
    <w:abstractNumId w:val="16"/>
  </w:num>
  <w:num w:numId="11" w16cid:durableId="619262163">
    <w:abstractNumId w:val="0"/>
  </w:num>
  <w:num w:numId="12" w16cid:durableId="218246559">
    <w:abstractNumId w:val="14"/>
  </w:num>
  <w:num w:numId="13" w16cid:durableId="1320041526">
    <w:abstractNumId w:val="3"/>
  </w:num>
  <w:num w:numId="14" w16cid:durableId="1442451776">
    <w:abstractNumId w:val="7"/>
  </w:num>
  <w:num w:numId="15" w16cid:durableId="889340421">
    <w:abstractNumId w:val="15"/>
  </w:num>
  <w:num w:numId="16" w16cid:durableId="1339188405">
    <w:abstractNumId w:val="11"/>
  </w:num>
  <w:num w:numId="17" w16cid:durableId="3605223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C2"/>
    <w:rsid w:val="000A799A"/>
    <w:rsid w:val="00120B02"/>
    <w:rsid w:val="00272B5D"/>
    <w:rsid w:val="00460820"/>
    <w:rsid w:val="00486362"/>
    <w:rsid w:val="00653E6D"/>
    <w:rsid w:val="00672DB1"/>
    <w:rsid w:val="006E4E34"/>
    <w:rsid w:val="007C26D0"/>
    <w:rsid w:val="007D3D5B"/>
    <w:rsid w:val="008A794E"/>
    <w:rsid w:val="008B4239"/>
    <w:rsid w:val="00925C19"/>
    <w:rsid w:val="009B53A2"/>
    <w:rsid w:val="00AC0571"/>
    <w:rsid w:val="00B1304C"/>
    <w:rsid w:val="00B71B78"/>
    <w:rsid w:val="00B95FA9"/>
    <w:rsid w:val="00C81A52"/>
    <w:rsid w:val="00CC7ECE"/>
    <w:rsid w:val="00DC427F"/>
    <w:rsid w:val="00E107B8"/>
    <w:rsid w:val="00EF1335"/>
    <w:rsid w:val="00F61E7E"/>
    <w:rsid w:val="00FC4A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8B02"/>
  <w15:chartTrackingRefBased/>
  <w15:docId w15:val="{9FE0BD0C-7ADB-4272-9F66-324D9AA38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D5B"/>
    <w:pPr>
      <w:spacing w:after="0" w:line="360" w:lineRule="auto"/>
      <w:jc w:val="both"/>
    </w:pPr>
    <w:rPr>
      <w:rFonts w:ascii="Times New Roman" w:hAnsi="Times New Roman"/>
    </w:rPr>
  </w:style>
  <w:style w:type="paragraph" w:styleId="Ttulo1">
    <w:name w:val="heading 1"/>
    <w:basedOn w:val="Normal"/>
    <w:next w:val="Normal"/>
    <w:link w:val="Ttulo1Car"/>
    <w:uiPriority w:val="9"/>
    <w:qFormat/>
    <w:rsid w:val="007D3D5B"/>
    <w:pPr>
      <w:keepNext/>
      <w:keepLines/>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7D3D5B"/>
    <w:pPr>
      <w:keepNext/>
      <w:keepLines/>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7D3D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3D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3D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3D5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D5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D5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D5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RedacTitulo">
    <w:name w:val="RedacTitulo"/>
    <w:basedOn w:val="Ttulo1"/>
    <w:link w:val="RedacTituloCar"/>
    <w:qFormat/>
    <w:rsid w:val="008B4239"/>
    <w:rPr>
      <w:b w:val="0"/>
    </w:rPr>
  </w:style>
  <w:style w:type="character" w:customStyle="1" w:styleId="RedacTituloCar">
    <w:name w:val="RedacTitulo Car"/>
    <w:basedOn w:val="Ttulo1Car"/>
    <w:link w:val="RedacTitulo"/>
    <w:rsid w:val="008B4239"/>
    <w:rPr>
      <w:rFonts w:ascii="Times New Roman" w:eastAsiaTheme="majorEastAsia" w:hAnsi="Times New Roman" w:cstheme="majorBidi"/>
      <w:b w:val="0"/>
      <w:sz w:val="28"/>
      <w:szCs w:val="40"/>
    </w:rPr>
  </w:style>
  <w:style w:type="character" w:customStyle="1" w:styleId="Ttulo1Car">
    <w:name w:val="Título 1 Car"/>
    <w:basedOn w:val="Fuentedeprrafopredeter"/>
    <w:link w:val="Ttulo1"/>
    <w:uiPriority w:val="9"/>
    <w:rsid w:val="007D3D5B"/>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7D3D5B"/>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7D3D5B"/>
    <w:rPr>
      <w:rFonts w:ascii="Times New Roman" w:eastAsiaTheme="majorEastAsia" w:hAnsi="Times New Roman"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3D5B"/>
    <w:rPr>
      <w:rFonts w:ascii="Times New Roman" w:eastAsiaTheme="majorEastAsia" w:hAnsi="Times New Roman" w:cstheme="majorBidi"/>
      <w:i/>
      <w:iCs/>
      <w:color w:val="0F4761" w:themeColor="accent1" w:themeShade="BF"/>
    </w:rPr>
  </w:style>
  <w:style w:type="character" w:customStyle="1" w:styleId="Ttulo5Car">
    <w:name w:val="Título 5 Car"/>
    <w:basedOn w:val="Fuentedeprrafopredeter"/>
    <w:link w:val="Ttulo5"/>
    <w:uiPriority w:val="9"/>
    <w:semiHidden/>
    <w:rsid w:val="007D3D5B"/>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7D3D5B"/>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7D3D5B"/>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7D3D5B"/>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7D3D5B"/>
    <w:rPr>
      <w:rFonts w:ascii="Times New Roman" w:eastAsiaTheme="majorEastAsia" w:hAnsi="Times New Roman" w:cstheme="majorBidi"/>
      <w:color w:val="272727" w:themeColor="text1" w:themeTint="D8"/>
    </w:rPr>
  </w:style>
  <w:style w:type="paragraph" w:styleId="Ttulo">
    <w:name w:val="Title"/>
    <w:basedOn w:val="Normal"/>
    <w:next w:val="Normal"/>
    <w:link w:val="TtuloCar"/>
    <w:uiPriority w:val="10"/>
    <w:qFormat/>
    <w:rsid w:val="007D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D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D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D5B"/>
    <w:rPr>
      <w:rFonts w:ascii="Times New Roman" w:eastAsiaTheme="majorEastAsia" w:hAnsi="Times New Roman" w:cstheme="majorBidi"/>
      <w:color w:val="595959" w:themeColor="text1" w:themeTint="A6"/>
      <w:spacing w:val="15"/>
      <w:sz w:val="28"/>
      <w:szCs w:val="28"/>
    </w:rPr>
  </w:style>
  <w:style w:type="paragraph" w:styleId="Cita">
    <w:name w:val="Quote"/>
    <w:basedOn w:val="Normal"/>
    <w:next w:val="Normal"/>
    <w:link w:val="CitaCar"/>
    <w:uiPriority w:val="29"/>
    <w:qFormat/>
    <w:rsid w:val="007D3D5B"/>
    <w:pPr>
      <w:spacing w:before="160"/>
      <w:jc w:val="center"/>
    </w:pPr>
    <w:rPr>
      <w:i/>
      <w:iCs/>
      <w:color w:val="404040" w:themeColor="text1" w:themeTint="BF"/>
    </w:rPr>
  </w:style>
  <w:style w:type="character" w:customStyle="1" w:styleId="CitaCar">
    <w:name w:val="Cita Car"/>
    <w:basedOn w:val="Fuentedeprrafopredeter"/>
    <w:link w:val="Cita"/>
    <w:uiPriority w:val="29"/>
    <w:rsid w:val="007D3D5B"/>
    <w:rPr>
      <w:rFonts w:ascii="Times New Roman" w:hAnsi="Times New Roman"/>
      <w:i/>
      <w:iCs/>
      <w:color w:val="404040" w:themeColor="text1" w:themeTint="BF"/>
    </w:rPr>
  </w:style>
  <w:style w:type="paragraph" w:styleId="Prrafodelista">
    <w:name w:val="List Paragraph"/>
    <w:basedOn w:val="Normal"/>
    <w:uiPriority w:val="34"/>
    <w:qFormat/>
    <w:rsid w:val="007D3D5B"/>
    <w:pPr>
      <w:ind w:left="720"/>
      <w:contextualSpacing/>
    </w:pPr>
  </w:style>
  <w:style w:type="character" w:styleId="nfasisintenso">
    <w:name w:val="Intense Emphasis"/>
    <w:basedOn w:val="Fuentedeprrafopredeter"/>
    <w:uiPriority w:val="21"/>
    <w:qFormat/>
    <w:rsid w:val="007D3D5B"/>
    <w:rPr>
      <w:i/>
      <w:iCs/>
      <w:color w:val="0F4761" w:themeColor="accent1" w:themeShade="BF"/>
    </w:rPr>
  </w:style>
  <w:style w:type="paragraph" w:styleId="Citadestacada">
    <w:name w:val="Intense Quote"/>
    <w:basedOn w:val="Normal"/>
    <w:next w:val="Normal"/>
    <w:link w:val="CitadestacadaCar"/>
    <w:uiPriority w:val="30"/>
    <w:qFormat/>
    <w:rsid w:val="007D3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D5B"/>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7D3D5B"/>
    <w:rPr>
      <w:b/>
      <w:bCs/>
      <w:smallCaps/>
      <w:color w:val="0F4761" w:themeColor="accent1" w:themeShade="BF"/>
      <w:spacing w:val="5"/>
    </w:rPr>
  </w:style>
  <w:style w:type="paragraph" w:styleId="Textocomentario">
    <w:name w:val="annotation text"/>
    <w:basedOn w:val="Normal"/>
    <w:link w:val="TextocomentarioCar"/>
    <w:uiPriority w:val="99"/>
    <w:unhideWhenUsed/>
    <w:rsid w:val="007D3D5B"/>
    <w:pPr>
      <w:spacing w:line="240" w:lineRule="auto"/>
    </w:pPr>
    <w:rPr>
      <w:sz w:val="20"/>
      <w:szCs w:val="20"/>
    </w:rPr>
  </w:style>
  <w:style w:type="character" w:customStyle="1" w:styleId="TextocomentarioCar">
    <w:name w:val="Texto comentario Car"/>
    <w:basedOn w:val="Fuentedeprrafopredeter"/>
    <w:link w:val="Textocomentario"/>
    <w:uiPriority w:val="99"/>
    <w:rsid w:val="007D3D5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7D3D5B"/>
    <w:rPr>
      <w:b/>
      <w:bCs/>
    </w:rPr>
  </w:style>
  <w:style w:type="character" w:customStyle="1" w:styleId="AsuntodelcomentarioCar">
    <w:name w:val="Asunto del comentario Car"/>
    <w:basedOn w:val="TextocomentarioCar"/>
    <w:link w:val="Asuntodelcomentario"/>
    <w:uiPriority w:val="99"/>
    <w:semiHidden/>
    <w:rsid w:val="007D3D5B"/>
    <w:rPr>
      <w:rFonts w:ascii="Times New Roman" w:hAnsi="Times New Roman"/>
      <w:b/>
      <w:bCs/>
      <w:sz w:val="20"/>
      <w:szCs w:val="20"/>
    </w:rPr>
  </w:style>
  <w:style w:type="paragraph" w:styleId="Encabezado">
    <w:name w:val="header"/>
    <w:basedOn w:val="Normal"/>
    <w:link w:val="EncabezadoCar"/>
    <w:uiPriority w:val="99"/>
    <w:unhideWhenUsed/>
    <w:rsid w:val="007D3D5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D3D5B"/>
    <w:rPr>
      <w:rFonts w:ascii="Times New Roman" w:hAnsi="Times New Roman"/>
    </w:rPr>
  </w:style>
  <w:style w:type="character" w:styleId="Hipervnculo">
    <w:name w:val="Hyperlink"/>
    <w:basedOn w:val="Fuentedeprrafopredeter"/>
    <w:uiPriority w:val="99"/>
    <w:unhideWhenUsed/>
    <w:rsid w:val="007D3D5B"/>
    <w:rPr>
      <w:color w:val="467886" w:themeColor="hyperlink"/>
      <w:u w:val="single"/>
    </w:rPr>
  </w:style>
  <w:style w:type="character" w:styleId="Hipervnculovisitado">
    <w:name w:val="FollowedHyperlink"/>
    <w:basedOn w:val="Fuentedeprrafopredeter"/>
    <w:uiPriority w:val="99"/>
    <w:semiHidden/>
    <w:unhideWhenUsed/>
    <w:rsid w:val="007D3D5B"/>
    <w:rPr>
      <w:color w:val="96607D" w:themeColor="followedHyperlink"/>
      <w:u w:val="single"/>
    </w:rPr>
  </w:style>
  <w:style w:type="character" w:styleId="Mencinsinresolver">
    <w:name w:val="Unresolved Mention"/>
    <w:basedOn w:val="Fuentedeprrafopredeter"/>
    <w:uiPriority w:val="99"/>
    <w:semiHidden/>
    <w:unhideWhenUsed/>
    <w:rsid w:val="007D3D5B"/>
    <w:rPr>
      <w:color w:val="605E5C"/>
      <w:shd w:val="clear" w:color="auto" w:fill="E1DFDD"/>
    </w:rPr>
  </w:style>
  <w:style w:type="paragraph" w:styleId="NormalWeb">
    <w:name w:val="Normal (Web)"/>
    <w:basedOn w:val="Normal"/>
    <w:uiPriority w:val="99"/>
    <w:semiHidden/>
    <w:unhideWhenUsed/>
    <w:rsid w:val="007D3D5B"/>
    <w:pPr>
      <w:spacing w:before="100" w:beforeAutospacing="1" w:after="100" w:afterAutospacing="1" w:line="240" w:lineRule="auto"/>
    </w:pPr>
    <w:rPr>
      <w:rFonts w:eastAsia="Times New Roman" w:cs="Times New Roman"/>
      <w:kern w:val="0"/>
      <w:lang w:eastAsia="es-AR"/>
      <w14:ligatures w14:val="none"/>
    </w:rPr>
  </w:style>
  <w:style w:type="paragraph" w:styleId="Piedepgina">
    <w:name w:val="footer"/>
    <w:basedOn w:val="Normal"/>
    <w:link w:val="PiedepginaCar"/>
    <w:uiPriority w:val="99"/>
    <w:unhideWhenUsed/>
    <w:rsid w:val="007D3D5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D3D5B"/>
    <w:rPr>
      <w:rFonts w:ascii="Times New Roman" w:hAnsi="Times New Roman"/>
    </w:rPr>
  </w:style>
  <w:style w:type="character" w:styleId="Refdecomentario">
    <w:name w:val="annotation reference"/>
    <w:basedOn w:val="Fuentedeprrafopredeter"/>
    <w:uiPriority w:val="99"/>
    <w:semiHidden/>
    <w:unhideWhenUsed/>
    <w:rsid w:val="007D3D5B"/>
    <w:rPr>
      <w:sz w:val="16"/>
      <w:szCs w:val="16"/>
    </w:rPr>
  </w:style>
  <w:style w:type="character" w:styleId="Refdenotaalpie">
    <w:name w:val="footnote reference"/>
    <w:basedOn w:val="Fuentedeprrafopredeter"/>
    <w:uiPriority w:val="99"/>
    <w:semiHidden/>
    <w:unhideWhenUsed/>
    <w:rsid w:val="007D3D5B"/>
    <w:rPr>
      <w:vertAlign w:val="superscript"/>
    </w:rPr>
  </w:style>
  <w:style w:type="paragraph" w:styleId="Sinespaciado">
    <w:name w:val="No Spacing"/>
    <w:link w:val="SinespaciadoCar"/>
    <w:uiPriority w:val="1"/>
    <w:qFormat/>
    <w:rsid w:val="007D3D5B"/>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7D3D5B"/>
    <w:rPr>
      <w:rFonts w:eastAsiaTheme="minorEastAsia"/>
      <w:kern w:val="0"/>
      <w:sz w:val="22"/>
      <w:szCs w:val="22"/>
      <w:lang w:eastAsia="es-AR"/>
      <w14:ligatures w14:val="none"/>
    </w:rPr>
  </w:style>
  <w:style w:type="paragraph" w:styleId="TDC1">
    <w:name w:val="toc 1"/>
    <w:basedOn w:val="Normal"/>
    <w:next w:val="Normal"/>
    <w:autoRedefine/>
    <w:uiPriority w:val="39"/>
    <w:unhideWhenUsed/>
    <w:rsid w:val="007D3D5B"/>
    <w:pPr>
      <w:spacing w:after="100"/>
    </w:pPr>
  </w:style>
  <w:style w:type="paragraph" w:styleId="TDC2">
    <w:name w:val="toc 2"/>
    <w:basedOn w:val="Normal"/>
    <w:next w:val="Normal"/>
    <w:autoRedefine/>
    <w:uiPriority w:val="39"/>
    <w:unhideWhenUsed/>
    <w:rsid w:val="007D3D5B"/>
    <w:pPr>
      <w:spacing w:after="100"/>
      <w:ind w:left="240"/>
    </w:pPr>
  </w:style>
  <w:style w:type="paragraph" w:styleId="TDC3">
    <w:name w:val="toc 3"/>
    <w:basedOn w:val="Normal"/>
    <w:next w:val="Normal"/>
    <w:autoRedefine/>
    <w:uiPriority w:val="39"/>
    <w:unhideWhenUsed/>
    <w:rsid w:val="007D3D5B"/>
    <w:pPr>
      <w:spacing w:after="100" w:line="259" w:lineRule="auto"/>
      <w:ind w:left="440"/>
      <w:jc w:val="left"/>
    </w:pPr>
    <w:rPr>
      <w:rFonts w:asciiTheme="minorHAnsi" w:eastAsiaTheme="minorEastAsia" w:hAnsiTheme="minorHAnsi" w:cs="Times New Roman"/>
      <w:kern w:val="0"/>
      <w:sz w:val="22"/>
      <w:szCs w:val="22"/>
      <w:lang w:eastAsia="es-AR"/>
      <w14:ligatures w14:val="none"/>
    </w:rPr>
  </w:style>
  <w:style w:type="paragraph" w:styleId="Textoindependiente">
    <w:name w:val="Body Text"/>
    <w:basedOn w:val="Normal"/>
    <w:link w:val="TextoindependienteCar"/>
    <w:uiPriority w:val="1"/>
    <w:qFormat/>
    <w:rsid w:val="007D3D5B"/>
    <w:pPr>
      <w:widowControl w:val="0"/>
      <w:autoSpaceDE w:val="0"/>
      <w:autoSpaceDN w:val="0"/>
      <w:spacing w:line="240" w:lineRule="auto"/>
      <w:jc w:val="left"/>
    </w:pPr>
    <w:rPr>
      <w:rFonts w:eastAsia="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7D3D5B"/>
    <w:rPr>
      <w:rFonts w:ascii="Times New Roman" w:eastAsia="Times New Roman" w:hAnsi="Times New Roman" w:cs="Times New Roman"/>
      <w:kern w:val="0"/>
      <w:lang w:val="es-ES"/>
      <w14:ligatures w14:val="none"/>
    </w:rPr>
  </w:style>
  <w:style w:type="paragraph" w:styleId="Textonotapie">
    <w:name w:val="footnote text"/>
    <w:basedOn w:val="Normal"/>
    <w:link w:val="TextonotapieCar"/>
    <w:uiPriority w:val="99"/>
    <w:semiHidden/>
    <w:unhideWhenUsed/>
    <w:rsid w:val="007D3D5B"/>
    <w:pPr>
      <w:spacing w:line="240" w:lineRule="auto"/>
    </w:pPr>
    <w:rPr>
      <w:sz w:val="20"/>
      <w:szCs w:val="20"/>
    </w:rPr>
  </w:style>
  <w:style w:type="character" w:customStyle="1" w:styleId="TextonotapieCar">
    <w:name w:val="Texto nota pie Car"/>
    <w:basedOn w:val="Fuentedeprrafopredeter"/>
    <w:link w:val="Textonotapie"/>
    <w:uiPriority w:val="99"/>
    <w:semiHidden/>
    <w:rsid w:val="007D3D5B"/>
    <w:rPr>
      <w:rFonts w:ascii="Times New Roman" w:hAnsi="Times New Roman"/>
      <w:sz w:val="20"/>
      <w:szCs w:val="20"/>
    </w:rPr>
  </w:style>
  <w:style w:type="paragraph" w:styleId="TtuloTDC">
    <w:name w:val="TOC Heading"/>
    <w:basedOn w:val="Ttulo1"/>
    <w:next w:val="Normal"/>
    <w:uiPriority w:val="39"/>
    <w:unhideWhenUsed/>
    <w:qFormat/>
    <w:rsid w:val="007D3D5B"/>
    <w:pPr>
      <w:spacing w:before="240" w:line="259" w:lineRule="auto"/>
      <w:jc w:val="left"/>
      <w:outlineLvl w:val="9"/>
    </w:pPr>
    <w:rPr>
      <w:kern w:val="0"/>
      <w:sz w:val="40"/>
      <w:szCs w:val="32"/>
      <w:lang w:eastAsia="es-AR"/>
      <w14:ligatures w14:val="none"/>
    </w:rPr>
  </w:style>
  <w:style w:type="character" w:styleId="Textoennegrita">
    <w:name w:val="Strong"/>
    <w:basedOn w:val="Fuentedeprrafopredeter"/>
    <w:uiPriority w:val="22"/>
    <w:qFormat/>
    <w:rsid w:val="008A7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BB1FB-4ADE-4CD1-9AAF-F10C27CB2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10</Pages>
  <Words>2019</Words>
  <Characters>12248</Characters>
  <Application>Microsoft Office Word</Application>
  <DocSecurity>0</DocSecurity>
  <Lines>240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Chanquia</dc:creator>
  <cp:keywords/>
  <dc:description/>
  <cp:lastModifiedBy>Joaquin Chanquia</cp:lastModifiedBy>
  <cp:revision>11</cp:revision>
  <dcterms:created xsi:type="dcterms:W3CDTF">2025-09-24T03:51:00Z</dcterms:created>
  <dcterms:modified xsi:type="dcterms:W3CDTF">2025-10-15T00:10:00Z</dcterms:modified>
</cp:coreProperties>
</file>