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48"/>
          <w:szCs w:val="48"/>
        </w:rPr>
        <w:t xml:space="preserve">Guión de Presentación</w:t>
      </w:r>
    </w:p>
    <w:p>
      <w:pPr>
        <w:spacing w:after="80" w:before="0"/>
        <w:jc w:val="center"/>
      </w:pPr>
      <w:r>
        <w:rPr>
          <w:rFonts w:ascii="Arial" w:cs="Arial" w:eastAsia="Arial" w:hAnsi="Arial"/>
          <w:color w:val="334155"/>
          <w:sz w:val="28"/>
          <w:szCs w:val="28"/>
        </w:rPr>
        <w:t xml:space="preserve">Nebula.ai — Gateway Semántico de IA</w:t>
      </w:r>
    </w:p>
    <w:p>
      <w:pPr>
        <w:spacing w:after="80" w:before="0"/>
        <w:jc w:val="center"/>
      </w:pPr>
      <w:r>
        <w:rPr>
          <w:rFonts w:ascii="Arial" w:cs="Arial" w:eastAsia="Arial" w:hAnsi="Arial"/>
          <w:color w:val="64748B"/>
          <w:sz w:val="20"/>
          <w:szCs w:val="20"/>
        </w:rPr>
        <w:t xml:space="preserve">Habilitación Profesional A  ·  Ingeniería en Informática  ·  UB</w:t>
      </w:r>
    </w:p>
    <w:p>
      <w:pPr>
        <w:spacing w:after="480" w:before="0"/>
        <w:jc w:val="center"/>
      </w:pPr>
      <w:r>
        <w:rPr>
          <w:rFonts w:ascii="Arial" w:cs="Arial" w:eastAsia="Arial" w:hAnsi="Arial"/>
          <w:color w:val="64748B"/>
          <w:sz w:val="20"/>
          <w:szCs w:val="20"/>
        </w:rPr>
        <w:t xml:space="preserve">Joaquin Fernandez Gamboa</w:t>
      </w:r>
    </w:p>
    <w:p>
      <w:pPr>
        <w:pBdr>
          <w:bottom w:val="single" w:color="2563EB" w:sz="8" w:space="1"/>
        </w:pBdr>
        <w:spacing w:after="200" w:before="0"/>
      </w:pPr>
    </w:p>
    <w:p>
      <w:pPr>
        <w:spacing w:after="80" w:before="200"/>
      </w:pPr>
      <w:r>
        <w:rPr>
          <w:rFonts w:ascii="Arial" w:cs="Arial" w:eastAsia="Arial" w:hAnsi="Arial"/>
          <w:b/>
          <w:bCs/>
          <w:color w:val="1E3A5F"/>
          <w:sz w:val="22"/>
          <w:szCs w:val="22"/>
        </w:rPr>
        <w:t xml:space="preserve">Cómo usar este guión</w:t>
      </w:r>
    </w:p>
    <w:p>
      <w:pPr>
        <w:spacing w:after="120" w:before="0"/>
      </w:pPr>
      <w:r>
        <w:rPr>
          <w:rFonts w:ascii="Arial" w:cs="Arial" w:eastAsia="Arial" w:hAnsi="Arial"/>
          <w:color w:val="334155"/>
          <w:sz w:val="20"/>
          <w:szCs w:val="20"/>
        </w:rPr>
        <w:t xml:space="preserve">Este documento contiene el guión sugerido para cada slide de la presentación. Está organizado con el tiempo estimado, el objetivo de la slide y el texto guía. Los textos son un punto de partida — no los leas literalmente. Incorporalos a tu discurso con tu propio estilo.</w:t>
      </w:r>
    </w:p>
    <w:p>
      <w:pPr>
        <w:spacing w:after="480" w:before="0"/>
      </w:pPr>
      <w:r>
        <w:rPr>
          <w:rFonts w:ascii="Arial" w:cs="Arial" w:eastAsia="Arial" w:hAnsi="Arial"/>
          <w:b/>
          <w:bCs/>
          <w:color w:val="2563EB"/>
          <w:sz w:val="20"/>
          <w:szCs w:val="20"/>
        </w:rPr>
        <w:t xml:space="preserve">Duración total estimada: 10–12 minutos, sin contar preguntas.</w:t>
      </w:r>
    </w:p>
    <w:p>
      <w:pPr>
        <w:pStyle w:val="Heading1"/>
        <w:pBdr>
          <w:bottom w:val="single" w:color="2563EB" w:sz="6" w:space="4"/>
        </w:pBdr>
        <w:spacing w:after="120" w:before="480"/>
      </w:pPr>
      <w:r>
        <w:rPr>
          <w:rFonts w:ascii="Arial" w:cs="Arial" w:eastAsia="Arial" w:hAnsi="Arial"/>
          <w:b/>
          <w:bCs/>
          <w:color w:val="1E3A5F"/>
        </w:rPr>
        <w:t xml:space="preserve">Slide 1  —  Portada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~30 segundos</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Presentarte, nombrar el proyecto y establecer el tono.</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Buenas [días/tardes]. Mi nombre es Joaquin Fernandez Gamboa y voy a presentarles el proyecto final de Habilitación Profesional A, correspondiente a la carrera de Ingeniería en Informática de la UB.</w:t>
      </w:r>
    </w:p>
    <w:p>
      <w:pPr>
        <w:spacing w:after="60" w:before="120"/>
      </w:pPr>
      <w:r>
        <w:rPr>
          <w:rFonts w:ascii="Arial" w:cs="Arial" w:eastAsia="Arial" w:hAnsi="Arial"/>
          <w:color w:val="1E293B"/>
          <w:sz w:val="20"/>
          <w:szCs w:val="20"/>
        </w:rPr>
        <w:t xml:space="preserve">El proyecto se llama Nebula.ai: un gateway semántico de inteligencia artificial. En los próximos minutos les voy a explicar qué es, qué problema resuelve, cómo está construido y por qué tiene valor comercial.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Hablá despacio y con seguridad. Esta slide es solo presentación, no entres en detalles técnicos todavía.</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2  —  Descripción del Producto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 30 segundos</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Que el oyente entienda exactamente qué hace Nebula y por qué existe.</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El problema que motiva a Nebula es el siguiente: los equipos de ingeniería que usan modelos de lenguaje en producción pagan por la capacidad del modelo más potente, incluso para requests que no lo necesitan.</w:t>
      </w:r>
    </w:p>
    <w:p>
      <w:pPr>
        <w:spacing w:after="60" w:before="120"/>
      </w:pPr>
      <w:r>
        <w:rPr>
          <w:rFonts w:ascii="Arial" w:cs="Arial" w:eastAsia="Arial" w:hAnsi="Arial"/>
          <w:color w:val="1E293B"/>
          <w:sz w:val="20"/>
          <w:szCs w:val="20"/>
        </w:rPr>
        <w:t xml:space="preserve">Nebula se instala entre las aplicaciones y los providers de LLM, y toma decisiones de routing en tiempo real. Si el request es simple o ya fue respondido antes, lo redirige a un modelo local gratuito o a la caché semántica. Si es complejo o crítico, lo envía al proveedor premium.</w:t>
      </w:r>
    </w:p>
    <w:p>
      <w:pPr>
        <w:spacing w:after="60" w:before="120"/>
      </w:pPr>
      <w:r>
        <w:rPr>
          <w:rFonts w:ascii="Arial" w:cs="Arial" w:eastAsia="Arial" w:hAnsi="Arial"/>
          <w:color w:val="1E293B"/>
          <w:sz w:val="20"/>
          <w:szCs w:val="20"/>
        </w:rPr>
        <w:t xml:space="preserve">Los números de la derecha hablan solos: 33% de reducción estimada en costo premium, latencia de 27 milisegundos en cache hits, y 14 de 14 escenarios de benchmark aprobados.</w:t>
      </w:r>
    </w:p>
    <w:p>
      <w:pPr>
        <w:spacing w:after="60" w:before="120"/>
      </w:pPr>
      <w:r>
        <w:rPr>
          <w:rFonts w:ascii="Arial" w:cs="Arial" w:eastAsia="Arial" w:hAnsi="Arial"/>
          <w:color w:val="1E293B"/>
          <w:sz w:val="20"/>
          <w:szCs w:val="20"/>
        </w:rPr>
        <w:t xml:space="preserve">Lo más importante: cada decisión queda registrada. El operador siempre sabe qué modelo respondió, por qué y a qué costo.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Si la audiencia no es técnica, podés usar la analogía: 'Nebula es como un despachador inteligente de tráfico para pedidos a una IA'.</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3  —  Funcionalidades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 30 segundos</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Dar una visión rápida de las 6 capacidades principales del sistema.</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Nebula tiene seis funcionalidades centrales.</w:t>
      </w:r>
    </w:p>
    <w:p>
      <w:pPr>
        <w:spacing w:after="60" w:before="120"/>
      </w:pPr>
      <w:r>
        <w:rPr>
          <w:rFonts w:ascii="Arial" w:cs="Arial" w:eastAsia="Arial" w:hAnsi="Arial"/>
          <w:color w:val="1E293B"/>
          <w:sz w:val="20"/>
          <w:szCs w:val="20"/>
        </w:rPr>
        <w:t xml:space="preserve">Primero, el routing inteligente: cada request es analizado por complejidad y se envía al camino más eficiente: modelo local, caché semántica, proveedor premium, o fallback automático.</w:t>
      </w:r>
    </w:p>
    <w:p>
      <w:pPr>
        <w:spacing w:after="60" w:before="120"/>
      </w:pPr>
      <w:r>
        <w:rPr>
          <w:rFonts w:ascii="Arial" w:cs="Arial" w:eastAsia="Arial" w:hAnsi="Arial"/>
          <w:color w:val="1E293B"/>
          <w:sz w:val="20"/>
          <w:szCs w:val="20"/>
        </w:rPr>
        <w:t xml:space="preserve">Segundo, la caché semántica: a diferencia de una caché tradicional, Nebula no necesita un match exacto. Usa embeddings vectoriales en Qdrant para detectar requests similares y reutilizar respuestas.</w:t>
      </w:r>
    </w:p>
    <w:p>
      <w:pPr>
        <w:spacing w:after="60" w:before="120"/>
      </w:pPr>
      <w:r>
        <w:rPr>
          <w:rFonts w:ascii="Arial" w:cs="Arial" w:eastAsia="Arial" w:hAnsi="Arial"/>
          <w:color w:val="1E293B"/>
          <w:sz w:val="20"/>
          <w:szCs w:val="20"/>
        </w:rPr>
        <w:t xml:space="preserve">Tercero, la gestión multi-tenant: cada tenant puede tener sus propias políticas de costo, modelos permitidos y comportamiento de fallback. Esto permite que un mismo gateway sirva a múltiples clientes o equipos con configuraciones independientes.</w:t>
      </w:r>
    </w:p>
    <w:p>
      <w:pPr>
        <w:spacing w:after="60" w:before="120"/>
      </w:pPr>
      <w:r>
        <w:rPr>
          <w:rFonts w:ascii="Arial" w:cs="Arial" w:eastAsia="Arial" w:hAnsi="Arial"/>
          <w:color w:val="1E293B"/>
          <w:sz w:val="20"/>
          <w:szCs w:val="20"/>
        </w:rPr>
        <w:t xml:space="preserve">Cuarto, el panel de control: una UI en Next.js donde el operador puede ver en tiempo real qué pasa, editar políticas, probar requests y revisar el historial.</w:t>
      </w:r>
    </w:p>
    <w:p>
      <w:pPr>
        <w:spacing w:after="60" w:before="120"/>
      </w:pPr>
      <w:r>
        <w:rPr>
          <w:rFonts w:ascii="Arial" w:cs="Arial" w:eastAsia="Arial" w:hAnsi="Arial"/>
          <w:color w:val="1E293B"/>
          <w:sz w:val="20"/>
          <w:szCs w:val="20"/>
        </w:rPr>
        <w:t xml:space="preserve">Quinto, observabilidad completa: métricas en Prometheus, health checks y un ledger de uso persistido.</w:t>
      </w:r>
    </w:p>
    <w:p>
      <w:pPr>
        <w:spacing w:after="60" w:before="120"/>
      </w:pPr>
      <w:r>
        <w:rPr>
          <w:rFonts w:ascii="Arial" w:cs="Arial" w:eastAsia="Arial" w:hAnsi="Arial"/>
          <w:color w:val="1E293B"/>
          <w:sz w:val="20"/>
          <w:szCs w:val="20"/>
        </w:rPr>
        <w:t xml:space="preserve">Y sexto, un plano de control hosteado opcional para visibilidad de flota, con un contrato estricto: solo se comparte metadata. Nunca prompts ni credenciales.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No hace falta profundizar en cada punto. Una frase por funcionalidad es suficiente. Podés señalar cada card mientras hablás.</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4  —  Aplicaciones del Producto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Mostrar a qué tipo de usuarios o casos de uso apunta el producto.</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¿Para quién está pensado Nebula?</w:t>
      </w:r>
    </w:p>
    <w:p>
      <w:pPr>
        <w:spacing w:after="60" w:before="120"/>
      </w:pPr>
      <w:r>
        <w:rPr>
          <w:rFonts w:ascii="Arial" w:cs="Arial" w:eastAsia="Arial" w:hAnsi="Arial"/>
          <w:color w:val="1E293B"/>
          <w:sz w:val="20"/>
          <w:szCs w:val="20"/>
        </w:rPr>
        <w:t xml:space="preserve">El caso más directo es la reducción de costos en AI: equipos con alto volumen de requests que hoy pagan el precio del modelo más caro para todo el tráfico. Con Nebula, los requests simples y repetidos se resuelven sin costo de proveedor.</w:t>
      </w:r>
    </w:p>
    <w:p>
      <w:pPr>
        <w:spacing w:after="60" w:before="120"/>
      </w:pPr>
      <w:r>
        <w:rPr>
          <w:rFonts w:ascii="Arial" w:cs="Arial" w:eastAsia="Arial" w:hAnsi="Arial"/>
          <w:color w:val="1E293B"/>
          <w:sz w:val="20"/>
          <w:szCs w:val="20"/>
        </w:rPr>
        <w:t xml:space="preserve">El segundo caso es el control operacional: organizaciones que necesitan saber exactamente qué requests van a qué proveedor, con auditoría completa. Esto es especialmente relevante en sectores con requisitos de compliance.</w:t>
      </w:r>
    </w:p>
    <w:p>
      <w:pPr>
        <w:spacing w:after="60" w:before="120"/>
      </w:pPr>
      <w:r>
        <w:rPr>
          <w:rFonts w:ascii="Arial" w:cs="Arial" w:eastAsia="Arial" w:hAnsi="Arial"/>
          <w:color w:val="1E293B"/>
          <w:sz w:val="20"/>
          <w:szCs w:val="20"/>
        </w:rPr>
        <w:t xml:space="preserve">El tercer caso es la resiliencia: sistemas de producción que no pueden permitirse downtime cuando un proveedor local falla. Nebula hace fallback automático y lo documenta.</w:t>
      </w:r>
    </w:p>
    <w:p>
      <w:pPr>
        <w:spacing w:after="60" w:before="120"/>
      </w:pPr>
      <w:r>
        <w:rPr>
          <w:rFonts w:ascii="Arial" w:cs="Arial" w:eastAsia="Arial" w:hAnsi="Arial"/>
          <w:color w:val="1E293B"/>
          <w:sz w:val="20"/>
          <w:szCs w:val="20"/>
        </w:rPr>
        <w:t xml:space="preserve">Y el cuarto caso aplica a startups y reviewers técnicos: el proyecto está diseñado para ser auditable desde el repositorio. Todo el proof de comportamiento está en los benchmarks y la documentación.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Si hay tiempo, podés preguntar a la audiencia con cuál de estos casos se identifican más. Crea interacción.</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5  —  Metodología de Desarrollo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Explicar cómo se organizó el trabajo y qué prácticas de ingeniería se usaron.</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El proyecto se desarrolló en tres versiones principales, entregadas en forma iterativa y con artefactos verificables en cada etapa.</w:t>
      </w:r>
    </w:p>
    <w:p>
      <w:pPr>
        <w:spacing w:after="60" w:before="120"/>
      </w:pPr>
      <w:r>
        <w:rPr>
          <w:rFonts w:ascii="Arial" w:cs="Arial" w:eastAsia="Arial" w:hAnsi="Arial"/>
          <w:color w:val="1E293B"/>
          <w:sz w:val="20"/>
          <w:szCs w:val="20"/>
        </w:rPr>
        <w:t xml:space="preserve">La v1.0 incluyó el gateway base completo: routing, caché semántica, políticas multi-tenant, el panel de control y el harness de benchmarks. Fueron 5 fases con 15 planes ejecutados.</w:t>
      </w:r>
    </w:p>
    <w:p>
      <w:pPr>
        <w:spacing w:after="60" w:before="120"/>
      </w:pPr>
      <w:r>
        <w:rPr>
          <w:rFonts w:ascii="Arial" w:cs="Arial" w:eastAsia="Arial" w:hAnsi="Arial"/>
          <w:color w:val="1E293B"/>
          <w:sz w:val="20"/>
          <w:szCs w:val="20"/>
        </w:rPr>
        <w:t xml:space="preserve">La v2.0 incorporó el plano de control hosteado: enrollment, heartbeat, audit trail y management remoto. 5 fases más, 14 planes.</w:t>
      </w:r>
    </w:p>
    <w:p>
      <w:pPr>
        <w:spacing w:after="60" w:before="120"/>
      </w:pPr>
      <w:r>
        <w:rPr>
          <w:rFonts w:ascii="Arial" w:cs="Arial" w:eastAsia="Arial" w:hAnsi="Arial"/>
          <w:color w:val="1E293B"/>
          <w:sz w:val="20"/>
          <w:szCs w:val="20"/>
        </w:rPr>
        <w:t xml:space="preserve">La v3.0 cerró el ciclo de adopción con el endpoint de embeddings, documentación de migración y pruebas integradas. Completada en un día.</w:t>
      </w:r>
    </w:p>
    <w:p>
      <w:pPr>
        <w:spacing w:after="60" w:before="120"/>
      </w:pPr>
      <w:r>
        <w:rPr>
          <w:rFonts w:ascii="Arial" w:cs="Arial" w:eastAsia="Arial" w:hAnsi="Arial"/>
          <w:color w:val="1E293B"/>
          <w:sz w:val="20"/>
          <w:szCs w:val="20"/>
        </w:rPr>
        <w:t xml:space="preserve">En cuanto a prácticas: todo el desarrollo fue test-driven con pytest-asyncio y Vitest. Se usaron conventional commits para mantener el historial legible. Y el deployment es reproducible con un solo comando de Docker Compose.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Podés mencionar la velocidad de entrega como evidencia de madurez del proceso: tres versiones en menos de un mes.</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6  —  Arquitectura Propuesta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 30 segundos</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Explicar los componentes del sistema y cómo interactúan.</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La arquitectura está organizada en tres capas que pueden verse en la slide.</w:t>
      </w:r>
    </w:p>
    <w:p>
      <w:pPr>
        <w:spacing w:after="60" w:before="120"/>
      </w:pPr>
      <w:r>
        <w:rPr>
          <w:rFonts w:ascii="Arial" w:cs="Arial" w:eastAsia="Arial" w:hAnsi="Arial"/>
          <w:color w:val="1E293B"/>
          <w:sz w:val="20"/>
          <w:szCs w:val="20"/>
        </w:rPr>
        <w:t xml:space="preserve">A la izquierda está el flujo de request. El cliente envía un POST al endpoint de chat completions con su API key. El gateway en FastAPI valida la identidad, chequea la política del tenant y se lo pasa al Router Service, que analiza la complejidad del request.</w:t>
      </w:r>
    </w:p>
    <w:p>
      <w:pPr>
        <w:spacing w:after="60" w:before="120"/>
      </w:pPr>
      <w:r>
        <w:rPr>
          <w:rFonts w:ascii="Arial" w:cs="Arial" w:eastAsia="Arial" w:hAnsi="Arial"/>
          <w:color w:val="1E293B"/>
          <w:sz w:val="20"/>
          <w:szCs w:val="20"/>
        </w:rPr>
        <w:t xml:space="preserve">En el centro están los providers. Según la decisión del router, el request puede ir a Ollama para inferencia local, a Qdrant para resolver un hit de caché semántica, o al proveedor premium compatible con OpenAI. Si lo local falla y está permitido, hay fallback automático.</w:t>
      </w:r>
    </w:p>
    <w:p>
      <w:pPr>
        <w:spacing w:after="60" w:before="120"/>
      </w:pPr>
      <w:r>
        <w:rPr>
          <w:rFonts w:ascii="Arial" w:cs="Arial" w:eastAsia="Arial" w:hAnsi="Arial"/>
          <w:color w:val="1E293B"/>
          <w:sz w:val="20"/>
          <w:szCs w:val="20"/>
        </w:rPr>
        <w:t xml:space="preserve">A la derecha está la infraestructura de soporte. PostgreSQL guarda todo el estado de gobierno: tenants, claves, políticas y el ledger de uso. Prometheus expone métricas. Y la console en Next.js es la interfaz del operador.</w:t>
      </w:r>
    </w:p>
    <w:p>
      <w:pPr>
        <w:spacing w:after="60" w:before="120"/>
      </w:pPr>
      <w:r>
        <w:rPr>
          <w:rFonts w:ascii="Arial" w:cs="Arial" w:eastAsia="Arial" w:hAnsi="Arial"/>
          <w:color w:val="1E293B"/>
          <w:sz w:val="20"/>
          <w:szCs w:val="20"/>
        </w:rPr>
        <w:t xml:space="preserve">El flujo completo termina con headers X-Nebula en la respuesta, que exponen la decisión tomada, y con el evento persistido en el ledger para auditoría posterior.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Señalá cada columna mientras describís. Si el diagrama es complejo para la audiencia, empezá por la parte de abajo con el flujo de request resumido.</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7  —  Requerimientos de SW y HW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~45 segundos</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Informar qué tecnologías y recursos son necesarios para desplegar el sistema.</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En cuanto a requerimientos, el stack de software incluye Python 3.12 para el gateway, Node.js 18 para la console, Docker con Compose para el deployment, PostgreSQL 16, Qdrant y Ollama.</w:t>
      </w:r>
    </w:p>
    <w:p>
      <w:pPr>
        <w:spacing w:after="60" w:before="120"/>
      </w:pPr>
      <w:r>
        <w:rPr>
          <w:rFonts w:ascii="Arial" w:cs="Arial" w:eastAsia="Arial" w:hAnsi="Arial"/>
          <w:color w:val="1E293B"/>
          <w:sz w:val="20"/>
          <w:szCs w:val="20"/>
        </w:rPr>
        <w:t xml:space="preserve">Para hardware, la configuración mínima para correr el gateway y la console es un servidor con 2 núcleos y 4 GB de RAM. Si queremos inferencia local con Ollama, lo recomendado es 4 núcleos y 16 GB de RAM. Una GPU es opcional pero acelera significativamente la inferencia local.</w:t>
      </w:r>
    </w:p>
    <w:p>
      <w:pPr>
        <w:spacing w:after="60" w:before="120"/>
      </w:pPr>
      <w:r>
        <w:rPr>
          <w:rFonts w:ascii="Arial" w:cs="Arial" w:eastAsia="Arial" w:hAnsi="Arial"/>
          <w:color w:val="1E293B"/>
          <w:sz w:val="20"/>
          <w:szCs w:val="20"/>
        </w:rPr>
        <w:t xml:space="preserve">El deployment completo se realiza sobre Linux, idealmente Ubuntu 22.04, con Docker y volúmenes persistentes para PostgreSQL y Qdrant.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Esta slide es informativa. Podés ir rápido si la audiencia es técnica o detenerte si hay preguntas sobre infraestructura.</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8  —  Riesgos y su Tratamiento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Demostrar que los riesgos fueron identificados y mitigados de forma concreta.</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Identificamos seis riesgos principales, agrupados por nivel de impacto.</w:t>
      </w:r>
    </w:p>
    <w:p>
      <w:pPr>
        <w:spacing w:after="60" w:before="120"/>
      </w:pPr>
      <w:r>
        <w:rPr>
          <w:rFonts w:ascii="Arial" w:cs="Arial" w:eastAsia="Arial" w:hAnsi="Arial"/>
          <w:color w:val="1E293B"/>
          <w:sz w:val="20"/>
          <w:szCs w:val="20"/>
        </w:rPr>
        <w:t xml:space="preserve">Los de impacto alto son tres. Primero, que las respuestas del modelo local sean de menor calidad que el premium. Se mitiga con fallback automático, el sistema nunca se queda sin respuesta. Segundo, la dependencia de providers externos. Se mitiga con diseño multi-provider y el fallback validado en benchmarks. Y tercero, la exposición de datos al control plane hosteado. Se mitiga con un contrato de metadata explícito y verificable en el repositorio.</w:t>
      </w:r>
    </w:p>
    <w:p>
      <w:pPr>
        <w:spacing w:after="60" w:before="120"/>
      </w:pPr>
      <w:r>
        <w:rPr>
          <w:rFonts w:ascii="Arial" w:cs="Arial" w:eastAsia="Arial" w:hAnsi="Arial"/>
          <w:color w:val="1E293B"/>
          <w:sz w:val="20"/>
          <w:szCs w:val="20"/>
        </w:rPr>
        <w:t xml:space="preserve">Los de impacto medio son dos. Complejidad de deployment, resuelta con Docker Compose y runbooks detallados. Y falsos positivos en caché semántica, manejados con threshold configurable por tenant.</w:t>
      </w:r>
    </w:p>
    <w:p>
      <w:pPr>
        <w:spacing w:after="60" w:before="120"/>
      </w:pPr>
      <w:r>
        <w:rPr>
          <w:rFonts w:ascii="Arial" w:cs="Arial" w:eastAsia="Arial" w:hAnsi="Arial"/>
          <w:color w:val="1E293B"/>
          <w:sz w:val="20"/>
          <w:szCs w:val="20"/>
        </w:rPr>
        <w:t xml:space="preserve">El de impacto bajo es la latencia adicional por routing, que en la práctica es sub-milisegundo para routing y 27ms promedio para cache hits.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No necesitás leer cada riesgo en detalle. Describí los de mayor impacto y mencioná brevemente los demás. El nivel de badge de colores ayuda a guiar la vista.</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9  —  Planificación en Tiempos y Costos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Mostrar los tiempos de entrega y los datos de costo con evidencia real del repositorio.</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La tabla resume los tres milestones del proyecto. La v1.0 tomó 17 días, la v2.0 otros 6 días y la v3.0 se completó en un día. En total, tres versiones en menos de un mes.</w:t>
      </w:r>
    </w:p>
    <w:p>
      <w:pPr>
        <w:spacing w:after="60" w:before="120"/>
      </w:pPr>
      <w:r>
        <w:rPr>
          <w:rFonts w:ascii="Arial" w:cs="Arial" w:eastAsia="Arial" w:hAnsi="Arial"/>
          <w:color w:val="1E293B"/>
          <w:sz w:val="20"/>
          <w:szCs w:val="20"/>
        </w:rPr>
        <w:t xml:space="preserve">En cuanto a costos operacionales, los datos provienen del benchmark integrado en el repositorio, no son estimaciones externas. En un run de 14 requests, el costo premium total fue de $0.000488. De ese total, $0.000162 fueron evitados gracias al routing a local y al cache. Eso representa un 33% de ahorro.</w:t>
      </w:r>
    </w:p>
    <w:p>
      <w:pPr>
        <w:spacing w:after="60" w:before="120"/>
      </w:pPr>
      <w:r>
        <w:rPr>
          <w:rFonts w:ascii="Arial" w:cs="Arial" w:eastAsia="Arial" w:hAnsi="Arial"/>
          <w:color w:val="1E293B"/>
          <w:sz w:val="20"/>
          <w:szCs w:val="20"/>
        </w:rPr>
        <w:t xml:space="preserve">El costo de la infraestructura propia es cero en el componente de LLM local, ya que Ollama corre modelos open source. El único costo operacional real es el servidor de deployment y el proveedor premium para los requests complejos.</w:t>
      </w:r>
    </w:p>
    <w:p>
      <w:pPr>
        <w:spacing w:after="60" w:before="120"/>
      </w:pPr>
      <w:r>
        <w:rPr>
          <w:rFonts w:ascii="Arial" w:cs="Arial" w:eastAsia="Arial" w:hAnsi="Arial"/>
          <w:color w:val="1E293B"/>
          <w:sz w:val="20"/>
          <w:szCs w:val="20"/>
        </w:rPr>
        <w:t xml:space="preserve">A medida que el volumen crece, la proporción de requests que van a caché y a local aumenta, por lo que el ahorro porcentual mejora con el uso.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Podés mencionar que el benchmark es parte del repositorio y se puede reproducir con 'make benchmark'. Eso habla bien de la transparencia del proyecto.</w:t>
            </w:r>
          </w:p>
        </w:tc>
      </w:tr>
    </w:tbl>
    <w:p>
      <w:pPr>
        <w:spacing w:after="0" w:before="80"/>
      </w:pPr>
    </w:p>
    <w:p>
      <w:r>
        <w:br w:type="page"/>
      </w:r>
    </w:p>
    <w:p>
      <w:pPr>
        <w:pStyle w:val="Heading1"/>
        <w:pBdr>
          <w:bottom w:val="single" w:color="2563EB" w:sz="6" w:space="4"/>
        </w:pBdr>
        <w:spacing w:after="120" w:before="480"/>
      </w:pPr>
      <w:r>
        <w:rPr>
          <w:rFonts w:ascii="Arial" w:cs="Arial" w:eastAsia="Arial" w:hAnsi="Arial"/>
          <w:b/>
          <w:bCs/>
          <w:color w:val="1E3A5F"/>
        </w:rPr>
        <w:t xml:space="preserve">Slide 10  —  Ventajas Comerciales del Producto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Tiempo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~1 minuto</w:t>
            </w:r>
          </w:p>
        </w:tc>
      </w:tr>
      <w:tr>
        <w:tc>
          <w:tcPr>
            <w:tcW w:type="dxa" w:w="1800"/>
            <w:tcBorders>
              <w:top w:val="single" w:color="CBD5E1" w:sz="1"/>
              <w:left w:val="single" w:color="CBD5E1" w:sz="1"/>
              <w:bottom w:val="single" w:color="CBD5E1" w:sz="1"/>
              <w:right w:val="single" w:color="CBD5E1" w:sz="1"/>
            </w:tcBorders>
            <w:shd w:fill="DBEAFE" w:val="clear"/>
            <w:tcMar>
              <w:top w:type="dxa" w:w="60"/>
              <w:left w:type="dxa" w:w="120"/>
              <w:bottom w:type="dxa" w:w="60"/>
              <w:right w:type="dxa" w:w="120"/>
            </w:tcMar>
          </w:tcPr>
          <w:p>
            <w:r>
              <w:rPr>
                <w:rFonts w:ascii="Arial" w:cs="Arial" w:eastAsia="Arial" w:hAnsi="Arial"/>
                <w:b/>
                <w:bCs/>
                <w:color w:val="1E3A5F"/>
                <w:sz w:val="18"/>
                <w:szCs w:val="18"/>
              </w:rPr>
              <w:t xml:space="preserve">🎯  Objetivo</w:t>
            </w:r>
          </w:p>
        </w:tc>
        <w:tc>
          <w:tcPr>
            <w:tcW w:type="dxa" w:w="7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Cerrar con los argumentos de valor y dejar una impresión clara y memorable.</w:t>
            </w:r>
          </w:p>
        </w:tc>
      </w:tr>
    </w:tbl>
    <w:p>
      <w:pPr>
        <w:spacing w:after="0" w:before="160"/>
      </w:pPr>
    </w:p>
    <w:p>
      <w:pPr>
        <w:spacing w:after="80" w:before="120"/>
      </w:pPr>
      <w:r>
        <w:rPr>
          <w:rFonts w:ascii="Arial" w:cs="Arial" w:eastAsia="Arial" w:hAnsi="Arial"/>
          <w:b/>
          <w:bCs/>
          <w:color w:val="1E3A5F"/>
          <w:sz w:val="22"/>
          <w:szCs w:val="22"/>
        </w:rPr>
        <w:t xml:space="preserve">Lo que decís:</w:t>
      </w:r>
    </w:p>
    <w:p>
      <w:pPr>
        <w:spacing w:after="60" w:before="60"/>
      </w:pPr>
      <w:r>
        <w:rPr>
          <w:rFonts w:ascii="Arial" w:cs="Arial" w:eastAsia="Arial" w:hAnsi="Arial"/>
          <w:color w:val="1E293B"/>
          <w:sz w:val="20"/>
          <w:szCs w:val="20"/>
        </w:rPr>
        <w:t xml:space="preserve">Para cerrar, las ventajas comerciales de Nebula se resumen en tres números: 33% de ahorro estimado en costos LLM, costo cero de infraestructura local con Ollama, y cero cambios necesarios en el código del cliente para adoptar el sistema.</w:t>
      </w:r>
    </w:p>
    <w:p>
      <w:pPr>
        <w:spacing w:after="60" w:before="120"/>
      </w:pPr>
      <w:r>
        <w:rPr>
          <w:rFonts w:ascii="Arial" w:cs="Arial" w:eastAsia="Arial" w:hAnsi="Arial"/>
          <w:color w:val="1E293B"/>
          <w:sz w:val="20"/>
          <w:szCs w:val="20"/>
        </w:rPr>
        <w:t xml:space="preserve">Esos tres números se sostienen en cuatro pilares. Primero, compatibilidad total con la API de OpenAI: cualquier equipo que ya usa GPT-4 o Claude puede migrar apuntando sus requests a Nebula sin tocar su código.</w:t>
      </w:r>
    </w:p>
    <w:p>
      <w:pPr>
        <w:spacing w:after="60" w:before="120"/>
      </w:pPr>
      <w:r>
        <w:rPr>
          <w:rFonts w:ascii="Arial" w:cs="Arial" w:eastAsia="Arial" w:hAnsi="Arial"/>
          <w:color w:val="1E293B"/>
          <w:sz w:val="20"/>
          <w:szCs w:val="20"/>
        </w:rPr>
        <w:t xml:space="preserve">Segundo, privacidad y control: al ser auto-hosteado, los prompts nunca salen de la infraestructura del operador, lo que simplifica el cumplimiento de políticas de seguridad.</w:t>
      </w:r>
    </w:p>
    <w:p>
      <w:pPr>
        <w:spacing w:after="60" w:before="120"/>
      </w:pPr>
      <w:r>
        <w:rPr>
          <w:rFonts w:ascii="Arial" w:cs="Arial" w:eastAsia="Arial" w:hAnsi="Arial"/>
          <w:color w:val="1E293B"/>
          <w:sz w:val="20"/>
          <w:szCs w:val="20"/>
        </w:rPr>
        <w:t xml:space="preserve">Tercero, visibilidad total: cada request queda auditado con modelo, ruta, costo y latencia. No hay caja negra.</w:t>
      </w:r>
    </w:p>
    <w:p>
      <w:pPr>
        <w:spacing w:after="60" w:before="120"/>
      </w:pPr>
      <w:r>
        <w:rPr>
          <w:rFonts w:ascii="Arial" w:cs="Arial" w:eastAsia="Arial" w:hAnsi="Arial"/>
          <w:color w:val="1E293B"/>
          <w:sz w:val="20"/>
          <w:szCs w:val="20"/>
        </w:rPr>
        <w:t xml:space="preserve">Y cuarto, escalabilidad: el modelo multi-tenant permite crecer sin reescribir el sistema. Nuevos providers se agregan con cambios mínimos.</w:t>
      </w:r>
    </w:p>
    <w:p>
      <w:pPr>
        <w:spacing w:after="60" w:before="120"/>
      </w:pPr>
      <w:r>
        <w:rPr>
          <w:rFonts w:ascii="Arial" w:cs="Arial" w:eastAsia="Arial" w:hAnsi="Arial"/>
          <w:color w:val="1E293B"/>
          <w:sz w:val="20"/>
          <w:szCs w:val="20"/>
        </w:rPr>
        <w:t xml:space="preserve">Nebula es un proyecto que resuelve un problema real, con evidencia verificable en el repositorio. Muchas gracias.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F1F5F9" w:val="clear"/>
            <w:tcMar>
              <w:top w:type="dxa" w:w="80"/>
              <w:left w:type="dxa" w:w="200"/>
              <w:bottom w:type="dxa" w:w="80"/>
              <w:right w:type="dxa" w:w="120"/>
            </w:tcMar>
          </w:tcPr>
          <w:p>
            <w:r>
              <w:rPr>
                <w:rFonts w:ascii="Arial" w:cs="Arial" w:eastAsia="Arial" w:hAnsi="Arial"/>
                <w:color w:val="334155"/>
                <w:sz w:val="18"/>
                <w:szCs w:val="18"/>
              </w:rPr>
              <w:t xml:space="preserve">💡 Terminá con confianza. El cierre 'evidencia verificable en el repositorio' es un buen remate porque habla de rigor técnico.</w:t>
            </w:r>
          </w:p>
        </w:tc>
      </w:tr>
    </w:tbl>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6"/>
        <w:szCs w:val="16"/>
      </w:rPr>
      <w:t xml:space="preserve">Habilitación Profesional A  ·  UB  ·  Joaquin Fernandez Gamboa  ·  Pág.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color w:val="64748B"/>
        <w:sz w:val="16"/>
        <w:szCs w:val="16"/>
      </w:rPr>
      <w:t xml:space="preserve">Guión — Nebula.ai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E3A5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2026-05-12T23:38:51.236Z</dcterms:created>
  <dcterms:modified xsi:type="dcterms:W3CDTF">2026-05-12T23:38:51.237Z</dcterms:modified>
</cp:coreProperties>
</file>

<file path=docProps/custom.xml><?xml version="1.0" encoding="utf-8"?>
<Properties xmlns="http://schemas.openxmlformats.org/officeDocument/2006/custom-properties" xmlns:vt="http://schemas.openxmlformats.org/officeDocument/2006/docPropsVTypes"/>
</file>