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060"/>
          <w:sz w:val="40"/>
        </w:rPr>
        <w:t>Depositary Services in Europe</w:t>
      </w:r>
    </w:p>
    <w:p>
      <w:pPr>
        <w:jc w:val="center"/>
      </w:pPr>
      <w:r>
        <w:rPr>
          <w:i/>
          <w:color w:val="505050"/>
          <w:sz w:val="22"/>
        </w:rPr>
        <w:t>Role, regulatory framework, risk profile, historical incidents and lessons learned</w:t>
      </w:r>
    </w:p>
    <w:p>
      <w:pPr>
        <w:jc w:val="center"/>
      </w:pPr>
      <w:r>
        <w:rPr>
          <w:color w:val="787878"/>
          <w:sz w:val="18"/>
        </w:rPr>
        <w:t>Companion brief to the Spain Depositary Competitive Landscape memo  ·  May 2026</w:t>
      </w:r>
    </w:p>
    <w:p/>
    <w:p>
      <w:r>
        <w:rPr>
          <w:b/>
          <w:color w:val="1F497D"/>
          <w:sz w:val="28"/>
        </w:rPr>
        <w:t>1. Executive summary</w:t>
      </w:r>
    </w:p>
    <w:p>
      <w:r>
        <w:rPr>
          <w:sz w:val="20"/>
        </w:rPr>
        <w:t>European depositaries are the regulated gatekeepers of collective investment vehicles. Under UCITS V and AIFMD, a single, independent depositary per fund is responsible for the safekeeping of fund assets, the monitoring of cash flows and a defined set of oversight duties over the management company. The defining features of the European model are (i) near-strict liability for the loss of financial instruments held in custody, (ii) a tightly bounded delegation regime down the custody chain, and (iii) per-account asset segregation that survives the depositary's own insolvency.</w:t>
      </w:r>
      <w:r>
        <w:rPr>
          <w:sz w:val="18"/>
        </w:rPr>
        <w:t xml:space="preserve"> [Source: </w:t>
      </w:r>
      <w:hyperlink r:id="rId9">
        <w:r>
          <w:rPr>
            <w:rStyle w:val="Hyperlink"/>
            <w:sz w:val="18"/>
            <w:color w:val="0563C1"/>
            <w:u w:val="single"/>
          </w:rPr>
          <w:t xml:space="preserve">EUR-Lex summary of depositary obligations</w:t>
        </w:r>
      </w:hyperlink>
      <w:r>
        <w:rPr>
          <w:sz w:val="18"/>
        </w:rPr>
        <w:t>]</w:t>
      </w:r>
      <w:r>
        <w:rPr>
          <w:sz w:val="18"/>
        </w:rPr>
        <w:t xml:space="preserve"> [Source: </w:t>
      </w:r>
      <w:hyperlink r:id="rId10">
        <w:r>
          <w:rPr>
            <w:rStyle w:val="Hyperlink"/>
            <w:sz w:val="18"/>
            <w:color w:val="0563C1"/>
            <w:u w:val="single"/>
          </w:rPr>
          <w:t xml:space="preserve">ESMA Opinion 34-45-277 on asset segregation</w:t>
        </w:r>
      </w:hyperlink>
      <w:r>
        <w:rPr>
          <w:sz w:val="18"/>
        </w:rPr>
        <w:t>]</w:t>
      </w:r>
    </w:p>
    <w:p>
      <w:r>
        <w:rPr>
          <w:sz w:val="20"/>
        </w:rPr>
        <w:t>The business is structurally concentrated: in 2024 the top 5 European depositary banks held c.67% of assets safekept (c.EUR 2.63tn) and the top 10 reached c.83% (c.EUR 3.3tn). Margin compression, rising technology spend and AIFMD II implementation (effective 16 April 2026) are accelerating consolidation. Recent loss events — Madoff feeder funds (HSBC), H2O AM/Tennor (CACEIS), State Street custody overcharges and BNY Mellon's ADR pre-release case — have reshaped both the supervisory expectations and the depositary's day-to-day control framework.</w:t>
      </w:r>
      <w:r>
        <w:rPr>
          <w:sz w:val="18"/>
        </w:rPr>
        <w:t xml:space="preserve"> [Source: </w:t>
      </w:r>
      <w:hyperlink r:id="rId11">
        <w:r>
          <w:rPr>
            <w:rStyle w:val="Hyperlink"/>
            <w:sz w:val="18"/>
            <w:color w:val="0563C1"/>
            <w:u w:val="single"/>
          </w:rPr>
          <w:t xml:space="preserve">KPMG LU Depositary Survey 2025</w:t>
        </w:r>
      </w:hyperlink>
      <w:r>
        <w:rPr>
          <w:sz w:val="18"/>
        </w:rPr>
        <w:t>]</w:t>
      </w:r>
      <w:r>
        <w:rPr>
          <w:sz w:val="18"/>
        </w:rPr>
        <w:t xml:space="preserve"> [Source: </w:t>
      </w:r>
      <w:hyperlink r:id="rId12">
        <w:r>
          <w:rPr>
            <w:rStyle w:val="Hyperlink"/>
            <w:sz w:val="18"/>
            <w:color w:val="0563C1"/>
            <w:u w:val="single"/>
          </w:rPr>
          <w:t xml:space="preserve">AIFMD II (Directive 2024/927)</w:t>
        </w:r>
      </w:hyperlink>
      <w:r>
        <w:rPr>
          <w:sz w:val="18"/>
        </w:rPr>
        <w:t>]</w:t>
      </w:r>
    </w:p>
    <w:p>
      <w:r>
        <w:rPr>
          <w:b/>
          <w:color w:val="1F497D"/>
          <w:sz w:val="28"/>
        </w:rPr>
        <w:t>2. Role of the depositary</w:t>
      </w:r>
    </w:p>
    <w:p>
      <w:r>
        <w:rPr>
          <w:sz w:val="20"/>
        </w:rPr>
        <w:t>Every UCITS fund and EU AIF must appoint a single depositary, separate from the management company, that performs three families of statutory duties. The depositary does not manage the fund's investments and is not the fund's prime broker; its role is custodial, control-oriented and unitholder-protective.</w:t>
      </w:r>
      <w:r>
        <w:rPr>
          <w:sz w:val="18"/>
        </w:rPr>
        <w:t xml:space="preserve"> [Source: </w:t>
      </w:r>
      <w:hyperlink r:id="rId9">
        <w:r>
          <w:rPr>
            <w:rStyle w:val="Hyperlink"/>
            <w:sz w:val="18"/>
            <w:color w:val="0563C1"/>
            <w:u w:val="single"/>
          </w:rPr>
          <w:t xml:space="preserve">EUR-Lex summary</w:t>
        </w:r>
      </w:hyperlink>
      <w:r>
        <w:rPr>
          <w:sz w:val="18"/>
        </w:rPr>
        <w:t>]</w:t>
      </w:r>
    </w:p>
    <w:p>
      <w:r>
        <w:rPr>
          <w:b/>
          <w:color w:val="3C3C3C"/>
          <w:sz w:val="24"/>
        </w:rPr>
        <w:t>2.1 Safekeeping</w:t>
      </w:r>
    </w:p>
    <w:p>
      <w:r>
        <w:rPr>
          <w:sz w:val="20"/>
        </w:rPr>
        <w:t>Two regimes apply depending on the asset: (a) financial instruments that can be held in custody (transferable securities, money-market instruments, units of CIVs) must be kept in segregated accounts opened in the depositary's books on behalf of the fund and posted to securities settlement systems; (b) other assets (OTC derivative receivables, real estate, private equity stakes, loan receivables) are subject to ownership verification and record-keeping obligations.</w:t>
      </w:r>
      <w:r>
        <w:rPr>
          <w:sz w:val="18"/>
        </w:rPr>
        <w:t xml:space="preserve"> [Source: </w:t>
      </w:r>
      <w:hyperlink r:id="rId13">
        <w:r>
          <w:rPr>
            <w:rStyle w:val="Hyperlink"/>
            <w:sz w:val="18"/>
            <w:color w:val="0563C1"/>
            <w:u w:val="single"/>
          </w:rPr>
          <w:t xml:space="preserve">UCITS V Directive (Art. 22)</w:t>
        </w:r>
      </w:hyperlink>
      <w:r>
        <w:rPr>
          <w:sz w:val="18"/>
        </w:rPr>
        <w:t>]</w:t>
      </w:r>
      <w:r>
        <w:rPr>
          <w:sz w:val="18"/>
        </w:rPr>
        <w:t xml:space="preserve"> [Source: </w:t>
      </w:r>
      <w:hyperlink r:id="rId14">
        <w:r>
          <w:rPr>
            <w:rStyle w:val="Hyperlink"/>
            <w:sz w:val="18"/>
            <w:color w:val="0563C1"/>
            <w:u w:val="single"/>
          </w:rPr>
          <w:t xml:space="preserve">AIFMD (Art. 21)</w:t>
        </w:r>
      </w:hyperlink>
      <w:r>
        <w:rPr>
          <w:sz w:val="18"/>
        </w:rPr>
        <w:t>]</w:t>
      </w:r>
    </w:p>
    <w:p>
      <w:r>
        <w:rPr>
          <w:b/>
          <w:color w:val="3C3C3C"/>
          <w:sz w:val="24"/>
        </w:rPr>
        <w:t>2.2 Cash flow monitoring</w:t>
      </w:r>
    </w:p>
    <w:p>
      <w:r>
        <w:rPr>
          <w:sz w:val="20"/>
        </w:rPr>
        <w:t>The depositary must reconcile, at least daily, all material cash flows of the fund — subscriptions, redemptions, dividends, fees, brokerage settlements — and ensure that all subscription monies have been received and that the fund's cash is booked at credit institutions meeting the eligibility criteria of the Level 2 acts. Cash monitoring cannot be delegated.</w:t>
      </w:r>
      <w:r>
        <w:rPr>
          <w:sz w:val="18"/>
        </w:rPr>
        <w:t xml:space="preserve"> [Source: </w:t>
      </w:r>
      <w:hyperlink r:id="rId15">
        <w:r>
          <w:rPr>
            <w:rStyle w:val="Hyperlink"/>
            <w:sz w:val="18"/>
            <w:color w:val="0563C1"/>
            <w:u w:val="single"/>
          </w:rPr>
          <w:t xml:space="preserve">Commission Delegated Regulation (EU) 2016/438</w:t>
        </w:r>
      </w:hyperlink>
      <w:r>
        <w:rPr>
          <w:sz w:val="18"/>
        </w:rPr>
        <w:t>]</w:t>
      </w:r>
    </w:p>
    <w:p>
      <w:r>
        <w:rPr>
          <w:b/>
          <w:color w:val="3C3C3C"/>
          <w:sz w:val="24"/>
        </w:rPr>
        <w:t>2.3 Oversight of the management company</w:t>
      </w:r>
    </w:p>
    <w:p>
      <w:r>
        <w:rPr>
          <w:sz w:val="20"/>
        </w:rPr>
        <w:t>The depositary must verify ex post that the manager's instructions have been executed in accordance with applicable law, the fund rules and the prospectus. Specific oversight duties include: NAV computation, application of subscription/redemption proceeds, timing of investment compliance breaches, application of fund income, and that the consideration for transactions involving the fund's assets is remitted within usual time limits. These are not delegable.</w:t>
      </w:r>
      <w:r>
        <w:rPr>
          <w:sz w:val="18"/>
        </w:rPr>
        <w:t xml:space="preserve"> [Source: </w:t>
      </w:r>
      <w:hyperlink r:id="rId16">
        <w:r>
          <w:rPr>
            <w:rStyle w:val="Hyperlink"/>
            <w:sz w:val="18"/>
            <w:color w:val="0563C1"/>
            <w:u w:val="single"/>
          </w:rPr>
          <w:t xml:space="preserve">ESMA Single Rulebook — UCITS Art. 22</w:t>
        </w:r>
      </w:hyperlink>
      <w:r>
        <w:rPr>
          <w:sz w:val="18"/>
        </w:rPr>
        <w:t>]</w:t>
      </w:r>
    </w:p>
    <w:p>
      <w:r>
        <w:rPr>
          <w:b/>
          <w:color w:val="1F497D"/>
          <w:sz w:val="28"/>
        </w:rPr>
        <w:t>3. Regulatory and supervisory framework</w:t>
      </w:r>
    </w:p>
    <w:p>
      <w:r>
        <w:rPr>
          <w:sz w:val="20"/>
        </w:rPr>
        <w:t>European depositary law sits at the intersection of fund law, banking/MiFID prudential law and securities settlement law. The architecture has four layers.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Layer</w:t>
            </w:r>
          </w:p>
        </w:tc>
        <w:tc>
          <w:tcPr>
            <w:tcW w:type="dxa" w:w="4986"/>
          </w:tcPr>
          <w:p>
            <w:r>
              <w:rPr>
                <w:b/>
                <w:sz w:val="18"/>
              </w:rPr>
              <w:t>What it does</w:t>
            </w:r>
          </w:p>
        </w:tc>
      </w:tr>
      <w:tr>
        <w:tc>
          <w:tcPr>
            <w:tcW w:type="dxa" w:w="4986"/>
          </w:tcPr>
          <w:p>
            <w:r>
              <w:rPr>
                <w:sz w:val="18"/>
              </w:rPr>
              <w:t>Level 1 — UCITS V (Directive 2014/91/EU)</w:t>
            </w:r>
          </w:p>
        </w:tc>
        <w:tc>
          <w:tcPr>
            <w:tcW w:type="dxa" w:w="4986"/>
          </w:tcPr>
          <w:p>
            <w:r>
              <w:rPr>
                <w:sz w:val="18"/>
              </w:rPr>
              <w:t>Depositary regime for UCITS: single eligible depositary per fund, segregation, oversight, strict liability for custody loss, delegation conditions.</w:t>
            </w:r>
          </w:p>
        </w:tc>
      </w:tr>
      <w:tr>
        <w:tc>
          <w:tcPr>
            <w:tcW w:type="dxa" w:w="4986"/>
          </w:tcPr>
          <w:p>
            <w:r>
              <w:rPr>
                <w:sz w:val="18"/>
              </w:rPr>
              <w:t>Level 1 — AIFMD (Directive 2011/61/EU, Art. 21)</w:t>
            </w:r>
          </w:p>
        </w:tc>
        <w:tc>
          <w:tcPr>
            <w:tcW w:type="dxa" w:w="4986"/>
          </w:tcPr>
          <w:p>
            <w:r>
              <w:rPr>
                <w:sz w:val="18"/>
              </w:rPr>
              <w:t>Equivalent regime for EU alternative investment funds; allows discharge of liability via written contract subject to objective reasons.</w:t>
            </w:r>
          </w:p>
        </w:tc>
      </w:tr>
      <w:tr>
        <w:tc>
          <w:tcPr>
            <w:tcW w:type="dxa" w:w="4986"/>
          </w:tcPr>
          <w:p>
            <w:r>
              <w:rPr>
                <w:sz w:val="18"/>
              </w:rPr>
              <w:t>Level 2 — Delegated Regulations (EU) 2016/438 (UCITS V) and 231/2013 (AIFMD)</w:t>
            </w:r>
          </w:p>
        </w:tc>
        <w:tc>
          <w:tcPr>
            <w:tcW w:type="dxa" w:w="4986"/>
          </w:tcPr>
          <w:p>
            <w:r>
              <w:rPr>
                <w:sz w:val="18"/>
              </w:rPr>
              <w:t>Granular requirements on segregation, due diligence on sub-custodians, cash monitoring, books and records, contractual content, conflicts of interest.</w:t>
            </w:r>
          </w:p>
        </w:tc>
      </w:tr>
      <w:tr>
        <w:tc>
          <w:tcPr>
            <w:tcW w:type="dxa" w:w="4986"/>
          </w:tcPr>
          <w:p>
            <w:r>
              <w:rPr>
                <w:sz w:val="18"/>
              </w:rPr>
              <w:t>Level 3 — ESMA Q&amp;As, Opinions, Guidelines</w:t>
            </w:r>
          </w:p>
        </w:tc>
        <w:tc>
          <w:tcPr>
            <w:tcW w:type="dxa" w:w="4986"/>
          </w:tcPr>
          <w:p>
            <w:r>
              <w:rPr>
                <w:sz w:val="18"/>
              </w:rPr>
              <w:t>Including the 2017 Opinion 34-45-277 on asset segregation, the 2020 letter on the AIFMD review, ongoing UCITS / AIFMD Q&amp;A updates.</w:t>
            </w:r>
          </w:p>
        </w:tc>
      </w:tr>
      <w:tr>
        <w:tc>
          <w:tcPr>
            <w:tcW w:type="dxa" w:w="4986"/>
          </w:tcPr>
          <w:p>
            <w:r>
              <w:rPr>
                <w:sz w:val="18"/>
              </w:rPr>
              <w:t>Level 4 — National competent authorities</w:t>
            </w:r>
          </w:p>
        </w:tc>
        <w:tc>
          <w:tcPr>
            <w:tcW w:type="dxa" w:w="4986"/>
          </w:tcPr>
          <w:p>
            <w:r>
              <w:rPr>
                <w:sz w:val="18"/>
              </w:rPr>
              <w:t>CSSF (LU), AMF (FR), CNMV (ES), CBI (IE), BaFin (DE) — license depositaries, run on-site inspections, impose administrative sanctions.</w:t>
            </w:r>
          </w:p>
        </w:tc>
      </w:tr>
      <w:tr>
        <w:tc>
          <w:tcPr>
            <w:tcW w:type="dxa" w:w="4986"/>
          </w:tcPr>
          <w:p>
            <w:r>
              <w:rPr>
                <w:sz w:val="18"/>
              </w:rPr>
              <w:t>AIFMD II (Directive (EU) 2024/927)</w:t>
            </w:r>
          </w:p>
        </w:tc>
        <w:tc>
          <w:tcPr>
            <w:tcW w:type="dxa" w:w="4986"/>
          </w:tcPr>
          <w:p>
            <w:r>
              <w:rPr>
                <w:sz w:val="18"/>
              </w:rPr>
              <w:t>Effective 16 April 2026. Tightens delegation supervision, introduces a narrow case-by-case cross-border depositary derogation (no full passport), harmonises loan origination rules.</w:t>
            </w:r>
          </w:p>
        </w:tc>
      </w:tr>
    </w:tbl>
    <w:p>
      <w:r>
        <w:rPr>
          <w:sz w:val="20"/>
        </w:rPr>
        <w:t xml:space="preserve"> </w:t>
      </w:r>
      <w:r>
        <w:rPr>
          <w:sz w:val="18"/>
        </w:rPr>
        <w:t xml:space="preserve">References: </w:t>
      </w:r>
      <w:hyperlink r:id="rId13">
        <w:r>
          <w:rPr>
            <w:rStyle w:val="Hyperlink"/>
            <w:sz w:val="18"/>
            <w:color w:val="0563C1"/>
            <w:u w:val="single"/>
          </w:rPr>
          <w:t xml:space="preserve">UCITS V (full text)</w:t>
        </w:r>
      </w:hyperlink>
      <w:r>
        <w:rPr>
          <w:sz w:val="18"/>
        </w:rPr>
        <w:t xml:space="preserve">; </w:t>
      </w:r>
      <w:r>
        <w:rPr>
          <w:sz w:val="18"/>
        </w:rPr>
      </w:r>
      <w:hyperlink r:id="rId14">
        <w:r>
          <w:rPr>
            <w:rStyle w:val="Hyperlink"/>
            <w:sz w:val="18"/>
            <w:color w:val="0563C1"/>
            <w:u w:val="single"/>
          </w:rPr>
          <w:t xml:space="preserve">AIFMD (full text)</w:t>
        </w:r>
      </w:hyperlink>
      <w:r>
        <w:rPr>
          <w:sz w:val="18"/>
        </w:rPr>
        <w:t xml:space="preserve">; </w:t>
      </w:r>
      <w:r>
        <w:rPr>
          <w:sz w:val="18"/>
        </w:rPr>
      </w:r>
      <w:hyperlink r:id="rId12">
        <w:r>
          <w:rPr>
            <w:rStyle w:val="Hyperlink"/>
            <w:sz w:val="18"/>
            <w:color w:val="0563C1"/>
            <w:u w:val="single"/>
          </w:rPr>
          <w:t xml:space="preserve">AIFMD II</w:t>
        </w:r>
      </w:hyperlink>
      <w:r>
        <w:rPr>
          <w:sz w:val="18"/>
        </w:rPr>
        <w:t xml:space="preserve">; </w:t>
      </w:r>
      <w:r>
        <w:rPr>
          <w:sz w:val="18"/>
        </w:rPr>
      </w:r>
      <w:hyperlink r:id="rId10">
        <w:r>
          <w:rPr>
            <w:rStyle w:val="Hyperlink"/>
            <w:sz w:val="18"/>
            <w:color w:val="0563C1"/>
            <w:u w:val="single"/>
          </w:rPr>
          <w:t xml:space="preserve">ESMA Opinion 34-45-277</w:t>
        </w:r>
      </w:hyperlink>
      <w:r>
        <w:rPr>
          <w:sz w:val="18"/>
        </w:rPr>
        <w:t>.</w:t>
      </w:r>
    </w:p>
    <w:p>
      <w:r>
        <w:rPr>
          <w:b/>
          <w:color w:val="3C3C3C"/>
          <w:sz w:val="24"/>
        </w:rPr>
        <w:t>3.1 Eligibility</w:t>
      </w:r>
    </w:p>
    <w:p>
      <w:r>
        <w:rPr>
          <w:sz w:val="20"/>
        </w:rPr>
        <w:t>A depositary must be: (i) an EU-authorised credit institution; (ii) an EU-authorised investment firm subject to CRD/CRR own-funds requirements equivalent to a credit institution and authorised to provide custody/safekeeping under MiFID Annex I, Section B; or (iii) for AIFs only, certain other categories (e.g., Luxembourg PSF or French dépositaire).</w:t>
      </w:r>
      <w:r>
        <w:rPr>
          <w:sz w:val="18"/>
        </w:rPr>
        <w:t xml:space="preserve"> [Source: </w:t>
      </w:r>
      <w:hyperlink r:id="rId9">
        <w:r>
          <w:rPr>
            <w:rStyle w:val="Hyperlink"/>
            <w:sz w:val="18"/>
            <w:color w:val="0563C1"/>
            <w:u w:val="single"/>
          </w:rPr>
          <w:t xml:space="preserve">EUR-Lex summary</w:t>
        </w:r>
      </w:hyperlink>
      <w:r>
        <w:rPr>
          <w:sz w:val="18"/>
        </w:rPr>
        <w:t>]</w:t>
      </w:r>
    </w:p>
    <w:p>
      <w:r>
        <w:rPr>
          <w:b/>
          <w:color w:val="3C3C3C"/>
          <w:sz w:val="24"/>
        </w:rPr>
        <w:t>3.2 Independence and conflicts of interest</w:t>
      </w:r>
    </w:p>
    <w:p>
      <w:r>
        <w:rPr>
          <w:sz w:val="20"/>
        </w:rPr>
        <w:t>The depositary cannot be the same legal entity as the manager and may not carry on activities with the fund that may create conflicts of interest unless it has functionally and hierarchically separated the depositary function and the conflicts are properly identified, managed and disclosed.</w:t>
      </w:r>
    </w:p>
    <w:p>
      <w:r>
        <w:rPr>
          <w:b/>
          <w:color w:val="3C3C3C"/>
          <w:sz w:val="24"/>
        </w:rPr>
        <w:t>3.3 Delegation and the custody chain</w:t>
      </w:r>
    </w:p>
    <w:p>
      <w:r>
        <w:rPr>
          <w:sz w:val="20"/>
        </w:rPr>
        <w:t>Safekeeping (and only safekeeping) of financial instruments may be delegated to a sub-custodian, subject to: (a) an objective reason; (b) due diligence in selection, appointment and ongoing monitoring; (c) the sub-custodian being subject to effective prudential regulation and external audit; (d) per-client account segregation at the level of the delegate; (e) the depositary remaining liable for any loss of custody assets — even if caused by the sub-custodian — unless (under AIFMD only) liability has been validly discharged in writing.</w:t>
      </w:r>
      <w:r>
        <w:rPr>
          <w:sz w:val="18"/>
        </w:rPr>
        <w:t xml:space="preserve"> [Source: </w:t>
      </w:r>
      <w:hyperlink r:id="rId10">
        <w:r>
          <w:rPr>
            <w:rStyle w:val="Hyperlink"/>
            <w:sz w:val="18"/>
            <w:color w:val="0563C1"/>
            <w:u w:val="single"/>
          </w:rPr>
          <w:t xml:space="preserve">ESMA Opinion 34-45-277</w:t>
        </w:r>
      </w:hyperlink>
      <w:r>
        <w:rPr>
          <w:sz w:val="18"/>
        </w:rPr>
        <w:t>]</w:t>
      </w:r>
      <w:r>
        <w:rPr>
          <w:sz w:val="18"/>
        </w:rPr>
        <w:t xml:space="preserve"> [Source: </w:t>
      </w:r>
      <w:hyperlink r:id="rId17">
        <w:r>
          <w:rPr>
            <w:rStyle w:val="Hyperlink"/>
            <w:sz w:val="18"/>
            <w:color w:val="0563C1"/>
            <w:u w:val="single"/>
          </w:rPr>
          <w:t xml:space="preserve">AIMA briefing on segregation opinion</w:t>
        </w:r>
      </w:hyperlink>
      <w:r>
        <w:rPr>
          <w:sz w:val="18"/>
        </w:rPr>
        <w:t>]</w:t>
      </w:r>
    </w:p>
    <w:p>
      <w:r>
        <w:rPr>
          <w:b/>
          <w:color w:val="3C3C3C"/>
          <w:sz w:val="24"/>
        </w:rPr>
        <w:t>3.4 Liability regime</w:t>
      </w:r>
    </w:p>
    <w:p>
      <w:r>
        <w:rPr>
          <w:sz w:val="20"/>
        </w:rPr>
        <w:t>For loss of financial instruments held in custody, the depositary must return identical instruments or the corresponding amount of money to the fund without undue delay. The depositary can only escape this 'restitution liability' by proving that the loss arose from an external event beyond its reasonable control. For oversight failures or for the loss of non-custody assets, the depositary is liable on a fault basis (negligence).</w:t>
      </w:r>
      <w:r>
        <w:rPr>
          <w:sz w:val="18"/>
        </w:rPr>
        <w:t xml:space="preserve"> [Source: </w:t>
      </w:r>
      <w:hyperlink r:id="rId18">
        <w:r>
          <w:rPr>
            <w:rStyle w:val="Hyperlink"/>
            <w:sz w:val="18"/>
            <w:color w:val="0563C1"/>
            <w:u w:val="single"/>
          </w:rPr>
          <w:t xml:space="preserve">Linklaters AIFMD Depositaries note</w:t>
        </w:r>
      </w:hyperlink>
      <w:r>
        <w:rPr>
          <w:sz w:val="18"/>
        </w:rPr>
        <w:t>]</w:t>
      </w:r>
    </w:p>
    <w:p>
      <w:r>
        <w:rPr>
          <w:b/>
          <w:color w:val="1F497D"/>
          <w:sz w:val="28"/>
        </w:rPr>
        <w:t>4. Risk profile of the depositary business</w:t>
      </w:r>
    </w:p>
    <w:p>
      <w:r>
        <w:rPr>
          <w:sz w:val="20"/>
        </w:rPr>
        <w:t>Depositary banking is a low-fee, capital-light, control-intensive activity. Revenues scale with AUM and transaction volume; costs are dominated by people, technology and compliance. Returns on equity are modest in absolute terms but the franchise generates highly recurring, low-attrition fee income that cross-subsidises adjacent custody, fund administration, transfer agency and FX services. The risk is asymmetric: the upside is capped by negotiated bps fees, the downside is open-ended through the restitution-liability regime.</w:t>
      </w:r>
      <w:r>
        <w:rPr>
          <w:sz w:val="18"/>
        </w:rPr>
        <w:t xml:space="preserve"> [Source: </w:t>
      </w:r>
      <w:hyperlink r:id="rId19">
        <w:r>
          <w:rPr>
            <w:rStyle w:val="Hyperlink"/>
            <w:sz w:val="18"/>
            <w:color w:val="0563C1"/>
            <w:u w:val="single"/>
          </w:rPr>
          <w:t xml:space="preserve">Funds Europe — Margin pressure</w:t>
        </w:r>
      </w:hyperlink>
      <w:r>
        <w:rPr>
          <w:sz w:val="18"/>
        </w:rPr>
        <w:t>]</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Risk family</w:t>
            </w:r>
          </w:p>
        </w:tc>
        <w:tc>
          <w:tcPr>
            <w:tcW w:type="dxa" w:w="4986"/>
          </w:tcPr>
          <w:p>
            <w:r>
              <w:rPr>
                <w:b/>
                <w:sz w:val="18"/>
              </w:rPr>
              <w:t>Description and typical mitigants</w:t>
            </w:r>
          </w:p>
        </w:tc>
      </w:tr>
      <w:tr>
        <w:tc>
          <w:tcPr>
            <w:tcW w:type="dxa" w:w="4986"/>
          </w:tcPr>
          <w:p>
            <w:r>
              <w:rPr>
                <w:sz w:val="18"/>
              </w:rPr>
              <w:t>Operational</w:t>
            </w:r>
          </w:p>
        </w:tc>
        <w:tc>
          <w:tcPr>
            <w:tcW w:type="dxa" w:w="4986"/>
          </w:tcPr>
          <w:p>
            <w:r>
              <w:rPr>
                <w:sz w:val="18"/>
              </w:rPr>
              <w:t>Asset reconciliation breaks, mis-postings, late NAVs, cyber incidents, cash payment errors. Mitigated by automation, segregation of duties and SOC reports.</w:t>
            </w:r>
          </w:p>
        </w:tc>
      </w:tr>
      <w:tr>
        <w:tc>
          <w:tcPr>
            <w:tcW w:type="dxa" w:w="4986"/>
          </w:tcPr>
          <w:p>
            <w:r>
              <w:rPr>
                <w:sz w:val="18"/>
              </w:rPr>
              <w:t>Custody / restitution</w:t>
            </w:r>
          </w:p>
        </w:tc>
        <w:tc>
          <w:tcPr>
            <w:tcW w:type="dxa" w:w="4986"/>
          </w:tcPr>
          <w:p>
            <w:r>
              <w:rPr>
                <w:sz w:val="18"/>
              </w:rPr>
              <w:t>Loss of financial instruments at the depositary or at any point in the sub-custody chain triggers near-strict liability. Mitigated by sub-custody due diligence, legal opinions, insurance.</w:t>
            </w:r>
          </w:p>
        </w:tc>
      </w:tr>
      <w:tr>
        <w:tc>
          <w:tcPr>
            <w:tcW w:type="dxa" w:w="4986"/>
          </w:tcPr>
          <w:p>
            <w:r>
              <w:rPr>
                <w:sz w:val="18"/>
              </w:rPr>
              <w:t>Counterparty / sub-custodian</w:t>
            </w:r>
          </w:p>
        </w:tc>
        <w:tc>
          <w:tcPr>
            <w:tcW w:type="dxa" w:w="4986"/>
          </w:tcPr>
          <w:p>
            <w:r>
              <w:rPr>
                <w:sz w:val="18"/>
              </w:rPr>
              <w:t>Default of a sub-custodian, CCP, market infrastructure or cash bank holding fund balances. Mitigated by exposure caps, eligibility filters, regular re-review.</w:t>
            </w:r>
          </w:p>
        </w:tc>
      </w:tr>
      <w:tr>
        <w:tc>
          <w:tcPr>
            <w:tcW w:type="dxa" w:w="4986"/>
          </w:tcPr>
          <w:p>
            <w:r>
              <w:rPr>
                <w:sz w:val="18"/>
              </w:rPr>
              <w:t>Conflict-of-interest / oversight</w:t>
            </w:r>
          </w:p>
        </w:tc>
        <w:tc>
          <w:tcPr>
            <w:tcW w:type="dxa" w:w="4986"/>
          </w:tcPr>
          <w:p>
            <w:r>
              <w:rPr>
                <w:sz w:val="18"/>
              </w:rPr>
              <w:t>Insufficient challenge of management company instructions; failure to detect a breach of the prospectus or investment limits. Mitigated by independent oversight teams, escalation procedures, MI to board.</w:t>
            </w:r>
          </w:p>
        </w:tc>
      </w:tr>
      <w:tr>
        <w:tc>
          <w:tcPr>
            <w:tcW w:type="dxa" w:w="4986"/>
          </w:tcPr>
          <w:p>
            <w:r>
              <w:rPr>
                <w:sz w:val="18"/>
              </w:rPr>
              <w:t>Compliance &amp; enforcement</w:t>
            </w:r>
          </w:p>
        </w:tc>
        <w:tc>
          <w:tcPr>
            <w:tcW w:type="dxa" w:w="4986"/>
          </w:tcPr>
          <w:p>
            <w:r>
              <w:rPr>
                <w:sz w:val="18"/>
              </w:rPr>
              <w:t>Administrative fines from NCA (CSSF, AMF, CNMV, CBI, BaFin); private litigation by unitholders/investors; class actions in the US. Mitigated by control framework, training, regulatory horizon scanning.</w:t>
            </w:r>
          </w:p>
        </w:tc>
      </w:tr>
      <w:tr>
        <w:tc>
          <w:tcPr>
            <w:tcW w:type="dxa" w:w="4986"/>
          </w:tcPr>
          <w:p>
            <w:r>
              <w:rPr>
                <w:sz w:val="18"/>
              </w:rPr>
              <w:t>Concentration</w:t>
            </w:r>
          </w:p>
        </w:tc>
        <w:tc>
          <w:tcPr>
            <w:tcW w:type="dxa" w:w="4986"/>
          </w:tcPr>
          <w:p>
            <w:r>
              <w:rPr>
                <w:sz w:val="18"/>
              </w:rPr>
              <w:t>A small number of clients can represent a disproportionate share of revenue; loss of a single mandate may impair franchise. Mitigated by diversification across asset classes and geographies.</w:t>
            </w:r>
          </w:p>
        </w:tc>
      </w:tr>
      <w:tr>
        <w:tc>
          <w:tcPr>
            <w:tcW w:type="dxa" w:w="4986"/>
          </w:tcPr>
          <w:p>
            <w:r>
              <w:rPr>
                <w:sz w:val="18"/>
              </w:rPr>
              <w:t>Margin / commercial</w:t>
            </w:r>
          </w:p>
        </w:tc>
        <w:tc>
          <w:tcPr>
            <w:tcW w:type="dxa" w:w="4986"/>
          </w:tcPr>
          <w:p>
            <w:r>
              <w:rPr>
                <w:sz w:val="18"/>
              </w:rPr>
              <w:t>Fee compression in standard UCITS depositary work; rising tech spend (DLT, T+1, ISO 20022). Mitigated by scale, automation, value-added services (alts, ELTIF, private debt).</w:t>
            </w:r>
          </w:p>
        </w:tc>
      </w:tr>
      <w:tr>
        <w:tc>
          <w:tcPr>
            <w:tcW w:type="dxa" w:w="4986"/>
          </w:tcPr>
          <w:p>
            <w:r>
              <w:rPr>
                <w:sz w:val="18"/>
              </w:rPr>
              <w:t>Reputational</w:t>
            </w:r>
          </w:p>
        </w:tc>
        <w:tc>
          <w:tcPr>
            <w:tcW w:type="dxa" w:w="4986"/>
          </w:tcPr>
          <w:p>
            <w:r>
              <w:rPr>
                <w:sz w:val="18"/>
              </w:rPr>
              <w:t>A high-profile failure (Madoff/HSBC, H2O/CACEIS) damages the broader franchise and triggers counterparty re-papering. Mitigated by transparent communication, prompt remediation, ring-fencing.</w:t>
            </w:r>
          </w:p>
        </w:tc>
      </w:tr>
    </w:tbl>
    <w:p>
      <w:r>
        <w:rPr>
          <w:b/>
          <w:color w:val="1F497D"/>
          <w:sz w:val="28"/>
        </w:rPr>
        <w:t>5. Key idiosyncratic risks of the depositary industry</w:t>
      </w:r>
    </w:p>
    <w:p>
      <w:r>
        <w:rPr>
          <w:sz w:val="20"/>
        </w:rPr>
        <w:t>Beyond the standard banking taxonomy, depositary banking has features that materially shape its tail risk and that are not captured by ordinary credit/market/operational risk lenses.</w:t>
      </w:r>
    </w:p>
    <w:p>
      <w:r>
        <w:rPr>
          <w:b/>
          <w:color w:val="3C3C3C"/>
          <w:sz w:val="24"/>
        </w:rPr>
        <w:t>5.1 The custody chain is opaque and cross-border</w:t>
      </w:r>
    </w:p>
    <w:p>
      <w:r>
        <w:rPr>
          <w:sz w:val="20"/>
        </w:rPr>
        <w:t>Most non-domestic securities are not held directly by the depositary but through one or more sub-custodians and ultimately at the issuer-CSD level. Each link in the chain is a potential point of failure — operational, legal or insolvency-related — and the depositary remains liable for losses upstream of those failures unless the discharge regime applies (AIFs only). Asset segregation rules (per ESMA's 2017 Opinion: minimum 3 segregated accounts per depositary at delegate level) reduce but do not eliminate this risk.</w:t>
      </w:r>
      <w:r>
        <w:rPr>
          <w:sz w:val="18"/>
        </w:rPr>
        <w:t xml:space="preserve"> [Source: </w:t>
      </w:r>
      <w:hyperlink r:id="rId10">
        <w:r>
          <w:rPr>
            <w:rStyle w:val="Hyperlink"/>
            <w:sz w:val="18"/>
            <w:color w:val="0563C1"/>
            <w:u w:val="single"/>
          </w:rPr>
          <w:t xml:space="preserve">ESMA segregation opinion</w:t>
        </w:r>
      </w:hyperlink>
      <w:r>
        <w:rPr>
          <w:sz w:val="18"/>
        </w:rPr>
        <w:t>]</w:t>
      </w:r>
    </w:p>
    <w:p>
      <w:r>
        <w:rPr>
          <w:b/>
          <w:color w:val="3C3C3C"/>
          <w:sz w:val="24"/>
        </w:rPr>
        <w:t>5.2 The strict-liability tail</w:t>
      </w:r>
    </w:p>
    <w:p>
      <w:r>
        <w:rPr>
          <w:sz w:val="20"/>
        </w:rPr>
        <w:t>A depositary may have to make the fund whole even where it has acted with full diligence, if the loss is not attributable to an 'external event' under Art. 24 AIFMD / Art. 24 UCITS V. The Madoff feeder funds (HSBC) demonstrated that the financial cost can run into the billions and persist for more than a decade after the underlying event.</w:t>
      </w:r>
    </w:p>
    <w:p>
      <w:r>
        <w:rPr>
          <w:b/>
          <w:color w:val="3C3C3C"/>
          <w:sz w:val="24"/>
        </w:rPr>
        <w:t>5.3 Oversight liability without trading authority</w:t>
      </w:r>
    </w:p>
    <w:p>
      <w:r>
        <w:rPr>
          <w:sz w:val="20"/>
        </w:rPr>
        <w:t>The depositary must control compliance with the fund's investment policy without having any say over the manager's investment decisions. The H2O AM / Tennor case (illiquid private debt held in UCITS funds) crystallised this asymmetry: CACEIS, as depositary, was named alongside Natixis IM, KPMG and H2O in the EUR 717m investor litigation despite being downstream of the underlying manager misconduct.</w:t>
      </w:r>
      <w:r>
        <w:rPr>
          <w:sz w:val="18"/>
        </w:rPr>
        <w:t xml:space="preserve"> [Source: </w:t>
      </w:r>
      <w:hyperlink r:id="rId20">
        <w:r>
          <w:rPr>
            <w:rStyle w:val="Hyperlink"/>
            <w:sz w:val="18"/>
            <w:color w:val="0563C1"/>
            <w:u w:val="single"/>
          </w:rPr>
          <w:t xml:space="preserve">Delano — H2O Caceis litigation</w:t>
        </w:r>
      </w:hyperlink>
      <w:r>
        <w:rPr>
          <w:sz w:val="18"/>
        </w:rPr>
        <w:t>]</w:t>
      </w:r>
      <w:r>
        <w:rPr>
          <w:sz w:val="18"/>
        </w:rPr>
        <w:t xml:space="preserve"> [Source: </w:t>
      </w:r>
      <w:hyperlink r:id="rId21">
        <w:r>
          <w:rPr>
            <w:rStyle w:val="Hyperlink"/>
            <w:sz w:val="18"/>
            <w:color w:val="0563C1"/>
            <w:u w:val="single"/>
          </w:rPr>
          <w:t xml:space="preserve">Deminor — H2O recovery action</w:t>
        </w:r>
      </w:hyperlink>
      <w:r>
        <w:rPr>
          <w:sz w:val="18"/>
        </w:rPr>
        <w:t>]</w:t>
      </w:r>
    </w:p>
    <w:p>
      <w:r>
        <w:rPr>
          <w:b/>
          <w:color w:val="3C3C3C"/>
          <w:sz w:val="24"/>
        </w:rPr>
        <w:t>5.4 Operational fragility of NAV and cash flows</w:t>
      </w:r>
    </w:p>
    <w:p>
      <w:r>
        <w:rPr>
          <w:sz w:val="20"/>
        </w:rPr>
        <w:t>A single NAV mis-strike, late capital call or mis-posted dividend can require investor compensation and trigger NCA reporting. The transition to T+1 settlement in the EU (decision in 2024 to adopt by Q4 2027) and the ongoing migration to ISO 20022 increase the probability of breaks and the cost of late identification.</w:t>
      </w:r>
    </w:p>
    <w:p>
      <w:r>
        <w:rPr>
          <w:b/>
          <w:color w:val="3C3C3C"/>
          <w:sz w:val="24"/>
        </w:rPr>
        <w:t>5.5 Concentration and fee compression at the same time</w:t>
      </w:r>
    </w:p>
    <w:p>
      <w:r>
        <w:rPr>
          <w:sz w:val="20"/>
        </w:rPr>
        <w:t>Top-5 European custodians hold c.67% of safekept assets. Scale players can absorb tech and compliance investment; sub-scale depositaries face structural margin erosion. Niche/independent depositaries (e.g., Inversis in Spain) compete on service depth to independent asset managers, but face the same per-bps pricing pressure as the bulge-bracket.</w:t>
      </w:r>
      <w:r>
        <w:rPr>
          <w:sz w:val="18"/>
        </w:rPr>
        <w:t xml:space="preserve"> [Source: </w:t>
      </w:r>
      <w:hyperlink r:id="rId11">
        <w:r>
          <w:rPr>
            <w:rStyle w:val="Hyperlink"/>
            <w:sz w:val="18"/>
            <w:color w:val="0563C1"/>
            <w:u w:val="single"/>
          </w:rPr>
          <w:t xml:space="preserve">KPMG LU Depositary Survey 2025</w:t>
        </w:r>
      </w:hyperlink>
      <w:r>
        <w:rPr>
          <w:sz w:val="18"/>
        </w:rPr>
        <w:t>]</w:t>
      </w:r>
      <w:r>
        <w:rPr>
          <w:sz w:val="18"/>
        </w:rPr>
        <w:t xml:space="preserve"> [Source: </w:t>
      </w:r>
      <w:hyperlink r:id="rId22">
        <w:r>
          <w:rPr>
            <w:rStyle w:val="Hyperlink"/>
            <w:sz w:val="18"/>
            <w:color w:val="0563C1"/>
            <w:u w:val="single"/>
          </w:rPr>
          <w:t xml:space="preserve">EY LU costs and charges study</w:t>
        </w:r>
      </w:hyperlink>
      <w:r>
        <w:rPr>
          <w:sz w:val="18"/>
        </w:rPr>
        <w:t>]</w:t>
      </w:r>
    </w:p>
    <w:p>
      <w:r>
        <w:rPr>
          <w:b/>
          <w:color w:val="3C3C3C"/>
          <w:sz w:val="24"/>
        </w:rPr>
        <w:t>5.6 Regulatory step-changes</w:t>
      </w:r>
    </w:p>
    <w:p>
      <w:r>
        <w:rPr>
          <w:sz w:val="20"/>
        </w:rPr>
        <w:t>AIFMD II (effective 16 April 2026) introduces a narrow cross-border depositary derogation (case-by-case, only where no domestic depositary services are available); harmonised loan origination AIF rules; tighter delegation reporting; expanded liquidity management tools; depositary obligations for ELTIFs and EuVECAs. The text falls short of the long-debated full depositary passport.</w:t>
      </w:r>
      <w:r>
        <w:rPr>
          <w:sz w:val="18"/>
        </w:rPr>
        <w:t xml:space="preserve"> [Source: </w:t>
      </w:r>
      <w:hyperlink r:id="rId12">
        <w:r>
          <w:rPr>
            <w:rStyle w:val="Hyperlink"/>
            <w:sz w:val="18"/>
            <w:color w:val="0563C1"/>
            <w:u w:val="single"/>
          </w:rPr>
          <w:t xml:space="preserve">AIFMD II (Directive 2024/927)</w:t>
        </w:r>
      </w:hyperlink>
      <w:r>
        <w:rPr>
          <w:sz w:val="18"/>
        </w:rPr>
        <w:t>]</w:t>
      </w:r>
    </w:p>
    <w:p>
      <w:r>
        <w:rPr>
          <w:b/>
          <w:color w:val="1F497D"/>
          <w:sz w:val="28"/>
        </w:rPr>
        <w:t>6. Historical loss incidents and key fines</w:t>
      </w:r>
    </w:p>
    <w:p>
      <w:r>
        <w:rPr>
          <w:sz w:val="20"/>
        </w:rPr>
        <w:t>The table below summarises the events that have most shaped the European depositary industry since 2008. They are typed by primary failure mode and cite the public source of record.</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Period</w:t>
            </w:r>
          </w:p>
        </w:tc>
        <w:tc>
          <w:tcPr>
            <w:tcW w:type="dxa" w:w="3324"/>
          </w:tcPr>
          <w:p>
            <w:r>
              <w:rPr>
                <w:b/>
                <w:sz w:val="18"/>
              </w:rPr>
              <w:t>Incident</w:t>
            </w:r>
          </w:p>
        </w:tc>
        <w:tc>
          <w:tcPr>
            <w:tcW w:type="dxa" w:w="3324"/>
          </w:tcPr>
          <w:p>
            <w:r>
              <w:rPr>
                <w:b/>
                <w:sz w:val="18"/>
              </w:rPr>
              <w:t>Outcome / sources</w:t>
            </w:r>
          </w:p>
        </w:tc>
      </w:tr>
      <w:tr>
        <w:tc>
          <w:tcPr>
            <w:tcW w:type="dxa" w:w="3324"/>
          </w:tcPr>
          <w:p>
            <w:r>
              <w:rPr>
                <w:sz w:val="18"/>
              </w:rPr>
              <w:t>2008–2025</w:t>
            </w:r>
          </w:p>
        </w:tc>
        <w:tc>
          <w:tcPr>
            <w:tcW w:type="dxa" w:w="3324"/>
          </w:tcPr>
          <w:p>
            <w:r>
              <w:rPr>
                <w:sz w:val="18"/>
              </w:rPr>
              <w:t>Madoff feeder funds (Thema International, Herald, Primeo) — HSBC Ireland and HSBC Luxembourg as depositary</w:t>
            </w:r>
          </w:p>
        </w:tc>
        <w:tc>
          <w:tcPr>
            <w:tcW w:type="dxa" w:w="3324"/>
          </w:tcPr>
          <w:p>
            <w:r>
              <w:rPr>
                <w:sz w:val="18"/>
              </w:rPr>
              <w:t>Sub-custodian (BLMIS) Ponzi-scheme fraud; depositary unable to verify existence of 'custodied' securities. Thema settlement USD 250m (2013); Herald restitution upheld by Luxembourg Court of Cassation Oct 2025; HSBC took USD 1.1bn provision.</w:t>
            </w:r>
            <w:r>
              <w:rPr>
                <w:sz w:val="18"/>
              </w:rPr>
              <w:t xml:space="preserve">  </w:t>
            </w:r>
            <w:hyperlink r:id="rId23">
              <w:r>
                <w:rPr>
                  <w:rStyle w:val="Hyperlink"/>
                  <w:sz w:val="18"/>
                  <w:color w:val="0563C1"/>
                  <w:u w:val="single"/>
                </w:rPr>
                <w:t xml:space="preserve">[source]</w:t>
              </w:r>
            </w:hyperlink>
            <w:r>
              <w:rPr>
                <w:sz w:val="18"/>
              </w:rPr>
              <w:t xml:space="preserve"> </w:t>
            </w:r>
            <w:hyperlink r:id="rId24">
              <w:r>
                <w:rPr>
                  <w:rStyle w:val="Hyperlink"/>
                  <w:sz w:val="18"/>
                  <w:color w:val="0563C1"/>
                  <w:u w:val="single"/>
                </w:rPr>
                <w:t xml:space="preserve">[source]</w:t>
              </w:r>
            </w:hyperlink>
          </w:p>
        </w:tc>
      </w:tr>
      <w:tr>
        <w:tc>
          <w:tcPr>
            <w:tcW w:type="dxa" w:w="3324"/>
          </w:tcPr>
          <w:p>
            <w:r>
              <w:rPr>
                <w:sz w:val="18"/>
              </w:rPr>
              <w:t>2008–2014</w:t>
            </w:r>
          </w:p>
        </w:tc>
        <w:tc>
          <w:tcPr>
            <w:tcW w:type="dxa" w:w="3324"/>
          </w:tcPr>
          <w:p>
            <w:r>
              <w:rPr>
                <w:sz w:val="18"/>
              </w:rPr>
              <w:t>Lehman Brothers International (Europe) — failure of a prime broker/custodian, not a UCITS depositary</w:t>
            </w:r>
          </w:p>
        </w:tc>
        <w:tc>
          <w:tcPr>
            <w:tcW w:type="dxa" w:w="3324"/>
          </w:tcPr>
          <w:p>
            <w:r>
              <w:rPr>
                <w:sz w:val="18"/>
              </w:rPr>
              <w:t>Hedge-fund prime brokerage assets that were rehypothecated were treated as unsecured claims; segregated client assets ultimately returned but with multi-year delays. Recast the AIFMD safekeeping vs prime-broker boundary.</w:t>
            </w:r>
            <w:r>
              <w:rPr>
                <w:sz w:val="18"/>
              </w:rPr>
              <w:t xml:space="preserve">  </w:t>
            </w:r>
            <w:hyperlink r:id="rId25">
              <w:r>
                <w:rPr>
                  <w:rStyle w:val="Hyperlink"/>
                  <w:sz w:val="18"/>
                  <w:color w:val="0563C1"/>
                  <w:u w:val="single"/>
                </w:rPr>
                <w:t xml:space="preserve">[source]</w:t>
              </w:r>
            </w:hyperlink>
          </w:p>
        </w:tc>
      </w:tr>
      <w:tr>
        <w:tc>
          <w:tcPr>
            <w:tcW w:type="dxa" w:w="3324"/>
          </w:tcPr>
          <w:p>
            <w:r>
              <w:rPr>
                <w:sz w:val="18"/>
              </w:rPr>
              <w:t>2017</w:t>
            </w:r>
          </w:p>
        </w:tc>
        <w:tc>
          <w:tcPr>
            <w:tcW w:type="dxa" w:w="3324"/>
          </w:tcPr>
          <w:p>
            <w:r>
              <w:rPr>
                <w:sz w:val="18"/>
              </w:rPr>
              <w:t>State Street — DOJ Deferred Prosecution Agreement, USD 115m criminal penalty</w:t>
            </w:r>
          </w:p>
        </w:tc>
        <w:tc>
          <w:tcPr>
            <w:tcW w:type="dxa" w:w="3324"/>
          </w:tcPr>
          <w:p>
            <w:r>
              <w:rPr>
                <w:sz w:val="18"/>
              </w:rPr>
              <w:t>Custody-fee overcharging via undisclosed mark-ups (1998-2015); part of broader USD 530m+ settlement set including FX-fraud DOJ/SEC charges.</w:t>
            </w:r>
            <w:r>
              <w:rPr>
                <w:sz w:val="18"/>
              </w:rPr>
              <w:t xml:space="preserve">  </w:t>
            </w:r>
            <w:hyperlink r:id="rId26">
              <w:r>
                <w:rPr>
                  <w:rStyle w:val="Hyperlink"/>
                  <w:sz w:val="18"/>
                  <w:color w:val="0563C1"/>
                  <w:u w:val="single"/>
                </w:rPr>
                <w:t xml:space="preserve">[source]</w:t>
              </w:r>
            </w:hyperlink>
            <w:r>
              <w:rPr>
                <w:sz w:val="18"/>
              </w:rPr>
              <w:t xml:space="preserve"> </w:t>
            </w:r>
            <w:hyperlink r:id="rId27">
              <w:r>
                <w:rPr>
                  <w:rStyle w:val="Hyperlink"/>
                  <w:sz w:val="18"/>
                  <w:color w:val="0563C1"/>
                  <w:u w:val="single"/>
                </w:rPr>
                <w:t xml:space="preserve">[source]</w:t>
              </w:r>
            </w:hyperlink>
          </w:p>
        </w:tc>
      </w:tr>
      <w:tr>
        <w:tc>
          <w:tcPr>
            <w:tcW w:type="dxa" w:w="3324"/>
          </w:tcPr>
          <w:p>
            <w:r>
              <w:rPr>
                <w:sz w:val="18"/>
              </w:rPr>
              <w:t>2018</w:t>
            </w:r>
          </w:p>
        </w:tc>
        <w:tc>
          <w:tcPr>
            <w:tcW w:type="dxa" w:w="3324"/>
          </w:tcPr>
          <w:p>
            <w:r>
              <w:rPr>
                <w:sz w:val="18"/>
              </w:rPr>
              <w:t>BNY Mellon — SEC charges, USD 54m total monetary relief</w:t>
            </w:r>
          </w:p>
        </w:tc>
        <w:tc>
          <w:tcPr>
            <w:tcW w:type="dxa" w:w="3324"/>
          </w:tcPr>
          <w:p>
            <w:r>
              <w:rPr>
                <w:sz w:val="18"/>
              </w:rPr>
              <w:t>Improper handling of pre-released ADRs (American Depositary Receipts); depositary issued ADRs without underlying foreign shares. Distinct from fund-depositary work but originates in BNY's depositary-bank function.</w:t>
            </w:r>
            <w:r>
              <w:rPr>
                <w:sz w:val="18"/>
              </w:rPr>
              <w:t xml:space="preserve">  </w:t>
            </w:r>
            <w:hyperlink r:id="rId28">
              <w:r>
                <w:rPr>
                  <w:rStyle w:val="Hyperlink"/>
                  <w:sz w:val="18"/>
                  <w:color w:val="0563C1"/>
                  <w:u w:val="single"/>
                </w:rPr>
                <w:t xml:space="preserve">[source]</w:t>
              </w:r>
            </w:hyperlink>
          </w:p>
        </w:tc>
      </w:tr>
      <w:tr>
        <w:tc>
          <w:tcPr>
            <w:tcW w:type="dxa" w:w="3324"/>
          </w:tcPr>
          <w:p>
            <w:r>
              <w:rPr>
                <w:sz w:val="18"/>
              </w:rPr>
              <w:t>2019</w:t>
            </w:r>
          </w:p>
        </w:tc>
        <w:tc>
          <w:tcPr>
            <w:tcW w:type="dxa" w:w="3324"/>
          </w:tcPr>
          <w:p>
            <w:r>
              <w:rPr>
                <w:sz w:val="18"/>
              </w:rPr>
              <w:t>State Street — SEC, USD 88m for hidden SWIFT mark-ups on custody clients</w:t>
            </w:r>
          </w:p>
        </w:tc>
        <w:tc>
          <w:tcPr>
            <w:tcW w:type="dxa" w:w="3324"/>
          </w:tcPr>
          <w:p>
            <w:r>
              <w:rPr>
                <w:sz w:val="18"/>
              </w:rPr>
              <w:t>Confirmed that custody fee transparency is a regulatory priority on both sides of the Atlantic.</w:t>
            </w:r>
            <w:r>
              <w:rPr>
                <w:sz w:val="18"/>
              </w:rPr>
              <w:t xml:space="preserve">  </w:t>
            </w:r>
            <w:hyperlink r:id="rId29">
              <w:r>
                <w:rPr>
                  <w:rStyle w:val="Hyperlink"/>
                  <w:sz w:val="18"/>
                  <w:color w:val="0563C1"/>
                  <w:u w:val="single"/>
                </w:rPr>
                <w:t xml:space="preserve">[source]</w:t>
              </w:r>
            </w:hyperlink>
          </w:p>
        </w:tc>
      </w:tr>
      <w:tr>
        <w:tc>
          <w:tcPr>
            <w:tcW w:type="dxa" w:w="3324"/>
          </w:tcPr>
          <w:p>
            <w:r>
              <w:rPr>
                <w:sz w:val="18"/>
              </w:rPr>
              <w:t>2019–2024</w:t>
            </w:r>
          </w:p>
        </w:tc>
        <w:tc>
          <w:tcPr>
            <w:tcW w:type="dxa" w:w="3324"/>
          </w:tcPr>
          <w:p>
            <w:r>
              <w:rPr>
                <w:sz w:val="18"/>
              </w:rPr>
              <w:t>H2O AM / Tennor (Lars Windhorst illiquid private debt) — CACEIS Bank as depositary</w:t>
            </w:r>
          </w:p>
        </w:tc>
        <w:tc>
          <w:tcPr>
            <w:tcW w:type="dxa" w:w="3324"/>
          </w:tcPr>
          <w:p>
            <w:r>
              <w:rPr>
                <w:sz w:val="18"/>
              </w:rPr>
              <w:t>AMF imposed EUR 75m on H2O AM (Dec 2022) for serious breaches; Bruno Crastes banned. Investor litigation EUR 717m+ co-defendants Natixis IM, CACEIS, KPMG. Demonstrated the depositary's exposure when manager evades liquidity / asset-eligibility limits.</w:t>
            </w:r>
            <w:r>
              <w:rPr>
                <w:sz w:val="18"/>
              </w:rPr>
              <w:t xml:space="preserve">  </w:t>
            </w:r>
            <w:hyperlink r:id="rId30">
              <w:r>
                <w:rPr>
                  <w:rStyle w:val="Hyperlink"/>
                  <w:sz w:val="18"/>
                  <w:color w:val="0563C1"/>
                  <w:u w:val="single"/>
                </w:rPr>
                <w:t xml:space="preserve">[source]</w:t>
              </w:r>
            </w:hyperlink>
            <w:r>
              <w:rPr>
                <w:sz w:val="18"/>
              </w:rPr>
              <w:t xml:space="preserve"> </w:t>
            </w:r>
            <w:hyperlink r:id="rId20">
              <w:r>
                <w:rPr>
                  <w:rStyle w:val="Hyperlink"/>
                  <w:sz w:val="18"/>
                  <w:color w:val="0563C1"/>
                  <w:u w:val="single"/>
                </w:rPr>
                <w:t xml:space="preserve">[source]</w:t>
              </w:r>
            </w:hyperlink>
          </w:p>
        </w:tc>
      </w:tr>
      <w:tr>
        <w:tc>
          <w:tcPr>
            <w:tcW w:type="dxa" w:w="3324"/>
          </w:tcPr>
          <w:p>
            <w:r>
              <w:rPr>
                <w:sz w:val="18"/>
              </w:rPr>
              <w:t>2020</w:t>
            </w:r>
          </w:p>
        </w:tc>
        <w:tc>
          <w:tcPr>
            <w:tcW w:type="dxa" w:w="3324"/>
          </w:tcPr>
          <w:p>
            <w:r>
              <w:rPr>
                <w:sz w:val="18"/>
              </w:rPr>
              <w:t>Wirecard — escrow / trustee assets did not exist (EUR 1.9bn missing)</w:t>
            </w:r>
          </w:p>
        </w:tc>
        <w:tc>
          <w:tcPr>
            <w:tcW w:type="dxa" w:w="3324"/>
          </w:tcPr>
          <w:p>
            <w:r>
              <w:rPr>
                <w:sz w:val="18"/>
              </w:rPr>
              <w:t>Not a fund depositary case, but adjacent: trustee verification of cash deposits failed. Triggered EU re-examination of independent verification across the asset-servicing chain.</w:t>
            </w:r>
            <w:r>
              <w:rPr>
                <w:sz w:val="18"/>
              </w:rPr>
              <w:t xml:space="preserve">  </w:t>
            </w:r>
            <w:hyperlink r:id="rId31">
              <w:r>
                <w:rPr>
                  <w:rStyle w:val="Hyperlink"/>
                  <w:sz w:val="18"/>
                  <w:color w:val="0563C1"/>
                  <w:u w:val="single"/>
                </w:rPr>
                <w:t xml:space="preserve">[source]</w:t>
              </w:r>
            </w:hyperlink>
          </w:p>
        </w:tc>
      </w:tr>
    </w:tbl>
    <w:p>
      <w:r>
        <w:rPr>
          <w:b/>
          <w:color w:val="1F497D"/>
          <w:sz w:val="28"/>
        </w:rPr>
        <w:t>7. How the industry has adapted and what it has learned</w:t>
      </w:r>
    </w:p>
    <w:p>
      <w:r>
        <w:rPr>
          <w:b/>
          <w:color w:val="3C3C3C"/>
          <w:sz w:val="24"/>
        </w:rPr>
        <w:t>7.1 Sub-custody due diligence has become a real control</w:t>
      </w:r>
    </w:p>
    <w:p>
      <w:r>
        <w:rPr>
          <w:sz w:val="20"/>
        </w:rPr>
        <w:t>Pre-Madoff, sub-custody appointment was largely a procurement decision. Post-Madoff (and codified by AIFMD/UCITS V Level 2), depositaries now run quantitative + qualitative scoring of sub-custodians, on-site visits, periodic re-papering, segregation testing and 'look-through' to issuer-CSD level. ESMA's 2017 Opinion crystallised the minimum-3-account segregation expectation at delegate level.</w:t>
      </w:r>
    </w:p>
    <w:p>
      <w:r>
        <w:rPr>
          <w:b/>
          <w:color w:val="3C3C3C"/>
          <w:sz w:val="24"/>
        </w:rPr>
        <w:t>7.2 Independent oversight and 'four-eyes' on NAV</w:t>
      </w:r>
    </w:p>
    <w:p>
      <w:r>
        <w:rPr>
          <w:sz w:val="20"/>
        </w:rPr>
        <w:t>Most large depositaries have moved oversight teams out of the same legal entity that runs fund administration, with separate reporting lines into the depositary's chief risk officer. Daily NAV reasonableness checks, look-through to underlying holdings, and monthly investment compliance attestations from the manager are now standard.</w:t>
      </w:r>
    </w:p>
    <w:p>
      <w:r>
        <w:rPr>
          <w:b/>
          <w:color w:val="3C3C3C"/>
          <w:sz w:val="24"/>
        </w:rPr>
        <w:t>7.3 Liquidity and asset-eligibility surveillance (post H2O)</w:t>
      </w:r>
    </w:p>
    <w:p>
      <w:r>
        <w:rPr>
          <w:sz w:val="20"/>
        </w:rPr>
        <w:t>Following H2O AM, depositaries hardened controls on the boundary between eligible and ineligible UCITS assets, on the use of OTC derivatives to obtain economic exposure to private issuers, and on liquidity stress testing against the redemption profile. AIFMD II's expanded liquidity management toolkit (swing pricing, redemption gates, side pockets) is the regulatory codification of these lessons.</w:t>
      </w:r>
    </w:p>
    <w:p>
      <w:r>
        <w:rPr>
          <w:b/>
          <w:color w:val="3C3C3C"/>
          <w:sz w:val="24"/>
        </w:rPr>
        <w:t>7.4 Cash monitoring as a real-time control</w:t>
      </w:r>
    </w:p>
    <w:p>
      <w:r>
        <w:rPr>
          <w:sz w:val="20"/>
        </w:rPr>
        <w:t>Cash monitoring under UCITS V is no longer a back-office reconciliation; it is automated, rules-based, and tied into payment systems with intra-day exception alerts. The triggering incident set (BNY Mellon ADR pre-release, State Street SWIFT mark-ups) reinforced the regulatory expectation that the depositary actively examines what flows through fund cash accounts, not merely that they reconcile.</w:t>
      </w:r>
    </w:p>
    <w:p>
      <w:r>
        <w:rPr>
          <w:b/>
          <w:color w:val="3C3C3C"/>
          <w:sz w:val="24"/>
        </w:rPr>
        <w:t>7.5 Disclosure of the discharge regime (AIFMD)</w:t>
      </w:r>
    </w:p>
    <w:p>
      <w:r>
        <w:rPr>
          <w:sz w:val="20"/>
        </w:rPr>
        <w:t>Where AIFs use the contractual discharge of liability, prospectuses now disclose the names of the relevant sub-custodians, the assets subject to discharge, and the reason. Some markets (e.g., Ireland) have effectively narrowed the use of discharge through supervisory expectations.</w:t>
      </w:r>
    </w:p>
    <w:p>
      <w:r>
        <w:rPr>
          <w:b/>
          <w:color w:val="3C3C3C"/>
          <w:sz w:val="24"/>
        </w:rPr>
        <w:t>7.6 Capital, insurance and contingency</w:t>
      </w:r>
    </w:p>
    <w:p>
      <w:r>
        <w:rPr>
          <w:sz w:val="20"/>
        </w:rPr>
        <w:t>Depositaries have built insurance programmes specifically scoped to the restitution-liability regime (with bank parent self-insured retention + excess layers). UCITS V also requires a minimum capital buffer and prohibits reuse of fund assets, materially reducing the link between depositary balance-sheet stress and fund losses.</w:t>
      </w:r>
    </w:p>
    <w:p>
      <w:r>
        <w:rPr>
          <w:b/>
          <w:color w:val="1F497D"/>
          <w:sz w:val="28"/>
        </w:rPr>
        <w:t>8. Implications for industry participants</w:t>
      </w:r>
    </w:p>
    <w:p>
      <w:r>
        <w:rPr>
          <w:sz w:val="20"/>
        </w:rPr>
        <w:t>For an entity entering or scaling depositary services in Europe, the framework imposes a few non-negotiables: (i) a robust, well-staffed second line covering custody, oversight and compliance; (ii) a sub-custody network with documented due diligence; (iii) automated cash monitoring and NAV reasonableness; (iv) a credible insurance programme; (v) a clear operating-model boundary against the management company, prime broker and fund administrator. The economics are scale-driven, but service depth, alts capability and quality of oversight remain genuine competitive differentiators — particularly for independent asset managers (the Inversis niche) where bulge-bracket peers may be perceived as conflicted (captive manager relationships) or undifferentiated.</w:t>
      </w:r>
    </w:p>
    <w:p>
      <w:r>
        <w:rPr>
          <w:b/>
          <w:color w:val="1F497D"/>
          <w:sz w:val="28"/>
        </w:rPr>
        <w:t>9. Sources and methodology</w:t>
      </w:r>
    </w:p>
    <w:p>
      <w:r>
        <w:rPr>
          <w:sz w:val="20"/>
        </w:rPr>
        <w:t>This brief draws on (a) primary EU legislation; (b) ESMA opinions and Q&amp;As; (c) public press releases of national competent authorities and US enforcement agencies; (d) industry surveys (KPMG, EY, Funds Europe, AIMA); (e) court decisions and litigation reporting (Madoff feeder litigation, H2O AM). Each fact in §6 cites at least one public source. Figures on market concentration are KPMG Luxembourg's Depositary Banking Survey 2025.</w:t>
      </w:r>
    </w:p>
    <w:p>
      <w:r>
        <w:rPr>
          <w:sz w:val="20"/>
        </w:rPr>
        <w:t>Selected canonical sources (clickable):</w:t>
      </w:r>
    </w:p>
    <w:p>
      <w:pPr>
        <w:pStyle w:val="ListBullet"/>
      </w:pPr>
      <w:hyperlink r:id="rId13">
        <w:r>
          <w:rPr>
            <w:rStyle w:val="Hyperlink"/>
            <w:sz w:val="20"/>
            <w:color w:val="0563C1"/>
            <w:u w:val="single"/>
          </w:rPr>
          <w:t xml:space="preserve">UCITS V Directive 2014/91/EU (Official Journal)</w:t>
        </w:r>
      </w:hyperlink>
    </w:p>
    <w:p>
      <w:pPr>
        <w:pStyle w:val="ListBullet"/>
      </w:pPr>
      <w:hyperlink r:id="rId15">
        <w:r>
          <w:rPr>
            <w:rStyle w:val="Hyperlink"/>
            <w:sz w:val="20"/>
            <w:color w:val="0563C1"/>
            <w:u w:val="single"/>
          </w:rPr>
          <w:t xml:space="preserve">Commission Delegated Regulation (EU) 2016/438 — UCITS V Level 2 depositary</w:t>
        </w:r>
      </w:hyperlink>
    </w:p>
    <w:p>
      <w:pPr>
        <w:pStyle w:val="ListBullet"/>
      </w:pPr>
      <w:hyperlink r:id="rId14">
        <w:r>
          <w:rPr>
            <w:rStyle w:val="Hyperlink"/>
            <w:sz w:val="20"/>
            <w:color w:val="0563C1"/>
            <w:u w:val="single"/>
          </w:rPr>
          <w:t xml:space="preserve">AIFMD Directive 2011/61/EU (Official Journal)</w:t>
        </w:r>
      </w:hyperlink>
    </w:p>
    <w:p>
      <w:pPr>
        <w:pStyle w:val="ListBullet"/>
      </w:pPr>
      <w:hyperlink r:id="rId32">
        <w:r>
          <w:rPr>
            <w:rStyle w:val="Hyperlink"/>
            <w:sz w:val="20"/>
            <w:color w:val="0563C1"/>
            <w:u w:val="single"/>
          </w:rPr>
          <w:t xml:space="preserve">Commission Delegated Regulation (EU) 231/2013 — AIFMD Level 2</w:t>
        </w:r>
      </w:hyperlink>
    </w:p>
    <w:p>
      <w:pPr>
        <w:pStyle w:val="ListBullet"/>
      </w:pPr>
      <w:hyperlink r:id="rId12">
        <w:r>
          <w:rPr>
            <w:rStyle w:val="Hyperlink"/>
            <w:sz w:val="20"/>
            <w:color w:val="0563C1"/>
            <w:u w:val="single"/>
          </w:rPr>
          <w:t xml:space="preserve">AIFMD II — Directive (EU) 2024/927</w:t>
        </w:r>
      </w:hyperlink>
    </w:p>
    <w:p>
      <w:pPr>
        <w:pStyle w:val="ListBullet"/>
      </w:pPr>
      <w:hyperlink r:id="rId10">
        <w:r>
          <w:rPr>
            <w:rStyle w:val="Hyperlink"/>
            <w:sz w:val="20"/>
            <w:color w:val="0563C1"/>
            <w:u w:val="single"/>
          </w:rPr>
          <w:t xml:space="preserve">ESMA Opinion 34-45-277 on Asset Segregation and Custody Services (2017)</w:t>
        </w:r>
      </w:hyperlink>
    </w:p>
    <w:p>
      <w:pPr>
        <w:pStyle w:val="ListBullet"/>
      </w:pPr>
      <w:hyperlink r:id="rId33">
        <w:r>
          <w:rPr>
            <w:rStyle w:val="Hyperlink"/>
            <w:sz w:val="20"/>
            <w:color w:val="0563C1"/>
            <w:u w:val="single"/>
          </w:rPr>
          <w:t xml:space="preserve">ESMA Letter to the European Commission on the AIFMD review (Aug 2020)</w:t>
        </w:r>
      </w:hyperlink>
    </w:p>
    <w:p>
      <w:pPr>
        <w:pStyle w:val="ListBullet"/>
      </w:pPr>
      <w:hyperlink r:id="rId16">
        <w:r>
          <w:rPr>
            <w:rStyle w:val="Hyperlink"/>
            <w:sz w:val="20"/>
            <w:color w:val="0563C1"/>
            <w:u w:val="single"/>
          </w:rPr>
          <w:t xml:space="preserve">ESMA Interactive Single Rulebook — UCITS Article 22 (depositary)</w:t>
        </w:r>
      </w:hyperlink>
    </w:p>
    <w:p>
      <w:pPr>
        <w:pStyle w:val="ListBullet"/>
      </w:pPr>
      <w:hyperlink r:id="rId11">
        <w:r>
          <w:rPr>
            <w:rStyle w:val="Hyperlink"/>
            <w:sz w:val="20"/>
            <w:color w:val="0563C1"/>
            <w:u w:val="single"/>
          </w:rPr>
          <w:t xml:space="preserve">KPMG Luxembourg — Depositary Banking &amp; Custodian Services Survey 2025</w:t>
        </w:r>
      </w:hyperlink>
    </w:p>
    <w:p>
      <w:pPr>
        <w:pStyle w:val="ListBullet"/>
      </w:pPr>
      <w:hyperlink r:id="rId22">
        <w:r>
          <w:rPr>
            <w:rStyle w:val="Hyperlink"/>
            <w:sz w:val="20"/>
            <w:color w:val="0563C1"/>
            <w:u w:val="single"/>
          </w:rPr>
          <w:t xml:space="preserve">EY Luxembourg — Costs and charges of funds: supervisory landscape and trends</w:t>
        </w:r>
      </w:hyperlink>
    </w:p>
    <w:p>
      <w:pPr>
        <w:pStyle w:val="ListBullet"/>
      </w:pPr>
      <w:hyperlink r:id="rId30">
        <w:r>
          <w:rPr>
            <w:rStyle w:val="Hyperlink"/>
            <w:sz w:val="20"/>
            <w:color w:val="0563C1"/>
            <w:u w:val="single"/>
          </w:rPr>
          <w:t xml:space="preserve">AMF (France) — Sanctions Commission decision against H2O AM (Dec 2022, EUR 75m)</w:t>
        </w:r>
      </w:hyperlink>
    </w:p>
    <w:p>
      <w:pPr>
        <w:pStyle w:val="ListBullet"/>
      </w:pPr>
      <w:hyperlink r:id="rId26">
        <w:r>
          <w:rPr>
            <w:rStyle w:val="Hyperlink"/>
            <w:sz w:val="20"/>
            <w:color w:val="0563C1"/>
            <w:u w:val="single"/>
          </w:rPr>
          <w:t xml:space="preserve">DOJ — State Street USD 115m criminal penalty / Deferred Prosecution Agreement (2017)</w:t>
        </w:r>
      </w:hyperlink>
    </w:p>
    <w:p>
      <w:pPr>
        <w:pStyle w:val="ListBullet"/>
      </w:pPr>
      <w:hyperlink r:id="rId28">
        <w:r>
          <w:rPr>
            <w:rStyle w:val="Hyperlink"/>
            <w:sz w:val="20"/>
            <w:color w:val="0563C1"/>
            <w:u w:val="single"/>
          </w:rPr>
          <w:t xml:space="preserve">SEC press release — BNY Mellon to pay USD 54m for improper handling of ADRs (2018)</w:t>
        </w:r>
      </w:hyperlink>
    </w:p>
    <w:p>
      <w:pPr>
        <w:pStyle w:val="ListBullet"/>
      </w:pPr>
      <w:hyperlink r:id="rId24">
        <w:r>
          <w:rPr>
            <w:rStyle w:val="Hyperlink"/>
            <w:sz w:val="20"/>
            <w:color w:val="0563C1"/>
            <w:u w:val="single"/>
          </w:rPr>
          <w:t xml:space="preserve">Globe &amp; Mail — HSBC Luxembourg Madoff appeal (Oct 2025, USD 1.1bn provision)</w:t>
        </w:r>
      </w:hyperlink>
    </w:p>
    <w:p>
      <w:pPr>
        <w:pStyle w:val="ListBullet"/>
      </w:pPr>
      <w:hyperlink r:id="rId21">
        <w:r>
          <w:rPr>
            <w:rStyle w:val="Hyperlink"/>
            <w:sz w:val="20"/>
            <w:color w:val="0563C1"/>
            <w:u w:val="single"/>
          </w:rPr>
          <w:t xml:space="preserve">Deminor — H2O Asset Management investor recovery action</w:t>
        </w:r>
      </w:hyperlink>
    </w:p>
    <w:p>
      <w:r>
        <w:rPr>
          <w:b/>
          <w:color w:val="1F497D"/>
          <w:sz w:val="28"/>
        </w:rPr>
        <w:t>10. Reference documentation folder</w:t>
      </w:r>
    </w:p>
    <w:p>
      <w:r>
        <w:rPr>
          <w:sz w:val="20"/>
        </w:rPr>
        <w:t>A companion folder of locally-mirrored documents has been created at:</w:t>
      </w:r>
    </w:p>
    <w:p>
      <w:r>
        <w:rPr>
          <w:rFonts w:ascii="Menlo" w:hAnsi="Menlo"/>
          <w:sz w:val="18"/>
        </w:rPr>
        <w:t>/Users/joaco/Spain funds market/EU Depositary Reference docs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File (in folder)</w:t>
            </w:r>
          </w:p>
        </w:tc>
        <w:tc>
          <w:tcPr>
            <w:tcW w:type="dxa" w:w="4986"/>
          </w:tcPr>
          <w:p>
            <w:r>
              <w:rPr>
                <w:b/>
                <w:sz w:val="18"/>
              </w:rPr>
              <w:t>Size</w:t>
            </w:r>
          </w:p>
        </w:tc>
      </w:tr>
      <w:tr>
        <w:tc>
          <w:tcPr>
            <w:tcW w:type="dxa" w:w="4986"/>
          </w:tcPr>
          <w:p>
            <w:r>
              <w:rPr>
                <w:sz w:val="18"/>
              </w:rPr>
              <w:t>AIMA_ESMA_Asset_Segregation_Opinion.html</w:t>
            </w:r>
          </w:p>
        </w:tc>
        <w:tc>
          <w:tcPr>
            <w:tcW w:type="dxa" w:w="4986"/>
          </w:tcPr>
          <w:p>
            <w:r>
              <w:rPr>
                <w:sz w:val="18"/>
              </w:rPr>
              <w:t>73 KB</w:t>
            </w:r>
          </w:p>
        </w:tc>
      </w:tr>
      <w:tr>
        <w:tc>
          <w:tcPr>
            <w:tcW w:type="dxa" w:w="4986"/>
          </w:tcPr>
          <w:p>
            <w:r>
              <w:rPr>
                <w:sz w:val="18"/>
              </w:rPr>
              <w:t>ESMA_Letter_AIFMD_Review_2020.pdf</w:t>
            </w:r>
          </w:p>
        </w:tc>
        <w:tc>
          <w:tcPr>
            <w:tcW w:type="dxa" w:w="4986"/>
          </w:tcPr>
          <w:p>
            <w:r>
              <w:rPr>
                <w:sz w:val="18"/>
              </w:rPr>
              <w:t>331 KB</w:t>
            </w:r>
          </w:p>
        </w:tc>
      </w:tr>
      <w:tr>
        <w:tc>
          <w:tcPr>
            <w:tcW w:type="dxa" w:w="4986"/>
          </w:tcPr>
          <w:p>
            <w:r>
              <w:rPr>
                <w:sz w:val="18"/>
              </w:rPr>
              <w:t>ESMA_Opinion_Asset_Segregation_2017.pdf</w:t>
            </w:r>
          </w:p>
        </w:tc>
        <w:tc>
          <w:tcPr>
            <w:tcW w:type="dxa" w:w="4986"/>
          </w:tcPr>
          <w:p>
            <w:r>
              <w:rPr>
                <w:sz w:val="18"/>
              </w:rPr>
              <w:t>604 KB</w:t>
            </w:r>
          </w:p>
        </w:tc>
      </w:tr>
      <w:tr>
        <w:tc>
          <w:tcPr>
            <w:tcW w:type="dxa" w:w="4986"/>
          </w:tcPr>
          <w:p>
            <w:r>
              <w:rPr>
                <w:sz w:val="18"/>
              </w:rPr>
              <w:t>Linklaters_AIFMD_Depositaries.html</w:t>
            </w:r>
          </w:p>
        </w:tc>
        <w:tc>
          <w:tcPr>
            <w:tcW w:type="dxa" w:w="4986"/>
          </w:tcPr>
          <w:p>
            <w:r>
              <w:rPr>
                <w:sz w:val="18"/>
              </w:rPr>
              <w:t>1,177 KB</w:t>
            </w:r>
          </w:p>
        </w:tc>
      </w:tr>
      <w:tr>
        <w:tc>
          <w:tcPr>
            <w:tcW w:type="dxa" w:w="4986"/>
          </w:tcPr>
          <w:p>
            <w:r>
              <w:rPr>
                <w:sz w:val="18"/>
              </w:rPr>
              <w:t>Oxford_LawBlog_Madoff_Depositary_Liability.html</w:t>
            </w:r>
          </w:p>
        </w:tc>
        <w:tc>
          <w:tcPr>
            <w:tcW w:type="dxa" w:w="4986"/>
          </w:tcPr>
          <w:p>
            <w:r>
              <w:rPr>
                <w:sz w:val="18"/>
              </w:rPr>
              <w:t>43 KB</w:t>
            </w:r>
          </w:p>
        </w:tc>
      </w:tr>
    </w:tbl>
    <w:p>
      <w:r>
        <w:rPr>
          <w:sz w:val="20"/>
        </w:rPr>
        <w:t>Recommended additional reading (online — not mirrored locally):</w:t>
      </w:r>
    </w:p>
    <w:p>
      <w:pPr>
        <w:pStyle w:val="ListBullet"/>
      </w:pPr>
      <w:hyperlink r:id="rId13">
        <w:r>
          <w:rPr>
            <w:rStyle w:val="Hyperlink"/>
            <w:sz w:val="18"/>
            <w:color w:val="0563C1"/>
            <w:u w:val="single"/>
          </w:rPr>
          <w:t xml:space="preserve">UCITS V Directive 2014/91/EU (Official Journal)</w:t>
        </w:r>
      </w:hyperlink>
    </w:p>
    <w:p>
      <w:pPr>
        <w:pStyle w:val="ListBullet"/>
      </w:pPr>
      <w:hyperlink r:id="rId14">
        <w:r>
          <w:rPr>
            <w:rStyle w:val="Hyperlink"/>
            <w:sz w:val="18"/>
            <w:color w:val="0563C1"/>
            <w:u w:val="single"/>
          </w:rPr>
          <w:t xml:space="preserve">AIFMD Directive 2011/61/EU (Official Journal)</w:t>
        </w:r>
      </w:hyperlink>
    </w:p>
    <w:p>
      <w:pPr>
        <w:pStyle w:val="ListBullet"/>
      </w:pPr>
      <w:hyperlink r:id="rId12">
        <w:r>
          <w:rPr>
            <w:rStyle w:val="Hyperlink"/>
            <w:sz w:val="18"/>
            <w:color w:val="0563C1"/>
            <w:u w:val="single"/>
          </w:rPr>
          <w:t xml:space="preserve">AIFMD II — Directive (EU) 2024/927</w:t>
        </w:r>
      </w:hyperlink>
    </w:p>
    <w:p>
      <w:pPr>
        <w:pStyle w:val="ListBullet"/>
      </w:pPr>
      <w:hyperlink r:id="rId15">
        <w:r>
          <w:rPr>
            <w:rStyle w:val="Hyperlink"/>
            <w:sz w:val="18"/>
            <w:color w:val="0563C1"/>
            <w:u w:val="single"/>
          </w:rPr>
          <w:t xml:space="preserve">Commission Delegated Regulation (EU) 2016/438 — UCITS V Level 2 depositary</w:t>
        </w:r>
      </w:hyperlink>
    </w:p>
    <w:p>
      <w:pPr>
        <w:pStyle w:val="ListBullet"/>
      </w:pPr>
      <w:hyperlink r:id="rId32">
        <w:r>
          <w:rPr>
            <w:rStyle w:val="Hyperlink"/>
            <w:sz w:val="18"/>
            <w:color w:val="0563C1"/>
            <w:u w:val="single"/>
          </w:rPr>
          <w:t xml:space="preserve">Commission Delegated Regulation (EU) 231/2013 — AIFMD Level 2</w:t>
        </w:r>
      </w:hyperlink>
    </w:p>
    <w:p>
      <w:pPr>
        <w:pStyle w:val="ListBullet"/>
      </w:pPr>
      <w:hyperlink r:id="rId34">
        <w:r>
          <w:rPr>
            <w:rStyle w:val="Hyperlink"/>
            <w:sz w:val="18"/>
            <w:color w:val="0563C1"/>
            <w:u w:val="single"/>
          </w:rPr>
          <w:t xml:space="preserve">ESMA Questions &amp; Answers on the application of the AIFMD</w:t>
        </w:r>
      </w:hyperlink>
    </w:p>
    <w:p>
      <w:pPr>
        <w:pStyle w:val="ListBullet"/>
      </w:pPr>
      <w:hyperlink r:id="rId35">
        <w:r>
          <w:rPr>
            <w:rStyle w:val="Hyperlink"/>
            <w:sz w:val="18"/>
            <w:color w:val="0563C1"/>
            <w:u w:val="single"/>
          </w:rPr>
          <w:t xml:space="preserve">ESMA Questions &amp; Answers on the application of the UCITS Directive</w:t>
        </w:r>
      </w:hyperlink>
    </w:p>
    <w:p>
      <w:pPr>
        <w:pStyle w:val="ListBullet"/>
      </w:pPr>
      <w:hyperlink r:id="rId16">
        <w:r>
          <w:rPr>
            <w:rStyle w:val="Hyperlink"/>
            <w:sz w:val="18"/>
            <w:color w:val="0563C1"/>
            <w:u w:val="single"/>
          </w:rPr>
          <w:t xml:space="preserve">ESMA Interactive Single Rulebook — UCITS Article 22 (depositary)</w:t>
        </w:r>
      </w:hyperlink>
    </w:p>
    <w:p>
      <w:pPr>
        <w:pStyle w:val="ListBullet"/>
      </w:pPr>
      <w:hyperlink r:id="rId36">
        <w:r>
          <w:rPr>
            <w:rStyle w:val="Hyperlink"/>
            <w:sz w:val="18"/>
            <w:color w:val="0563C1"/>
            <w:u w:val="single"/>
          </w:rPr>
          <w:t xml:space="preserve">CSSF (Luxembourg) — Depositary Bank section</w:t>
        </w:r>
      </w:hyperlink>
    </w:p>
    <w:p>
      <w:pPr>
        <w:pStyle w:val="ListBullet"/>
      </w:pPr>
      <w:hyperlink r:id="rId30">
        <w:r>
          <w:rPr>
            <w:rStyle w:val="Hyperlink"/>
            <w:sz w:val="18"/>
            <w:color w:val="0563C1"/>
            <w:u w:val="single"/>
          </w:rPr>
          <w:t xml:space="preserve">AMF (France) — Sanctions Commission decision against H2O AM (Dec 2022, EUR 75m)</w:t>
        </w:r>
      </w:hyperlink>
    </w:p>
    <w:p>
      <w:pPr>
        <w:pStyle w:val="ListBullet"/>
      </w:pPr>
      <w:hyperlink r:id="rId11">
        <w:r>
          <w:rPr>
            <w:rStyle w:val="Hyperlink"/>
            <w:sz w:val="18"/>
            <w:color w:val="0563C1"/>
            <w:u w:val="single"/>
          </w:rPr>
          <w:t xml:space="preserve">KPMG Luxembourg — Depositary Banking &amp; Custodian Services Survey 2025</w:t>
        </w:r>
      </w:hyperlink>
    </w:p>
    <w:p>
      <w:pPr>
        <w:pStyle w:val="ListBullet"/>
      </w:pPr>
      <w:hyperlink r:id="rId22">
        <w:r>
          <w:rPr>
            <w:rStyle w:val="Hyperlink"/>
            <w:sz w:val="18"/>
            <w:color w:val="0563C1"/>
            <w:u w:val="single"/>
          </w:rPr>
          <w:t xml:space="preserve">EY Luxembourg — Costs and charges of funds: supervisory landscape and trends</w:t>
        </w:r>
      </w:hyperlink>
    </w:p>
    <w:p>
      <w:pPr>
        <w:pStyle w:val="ListBullet"/>
      </w:pPr>
      <w:hyperlink r:id="rId37">
        <w:r>
          <w:rPr>
            <w:rStyle w:val="Hyperlink"/>
            <w:sz w:val="18"/>
            <w:color w:val="0563C1"/>
            <w:u w:val="single"/>
          </w:rPr>
          <w:t xml:space="preserve">IOSCO Final Report FR05/11 — Survey of regimes for the protection of client assets</w:t>
        </w:r>
      </w:hyperlink>
    </w:p>
    <w:p>
      <w:pPr>
        <w:pStyle w:val="ListBullet"/>
      </w:pPr>
      <w:hyperlink r:id="rId28">
        <w:r>
          <w:rPr>
            <w:rStyle w:val="Hyperlink"/>
            <w:sz w:val="18"/>
            <w:color w:val="0563C1"/>
            <w:u w:val="single"/>
          </w:rPr>
          <w:t xml:space="preserve">SEC press release — BNY Mellon to pay USD 54m for improper handling of ADRs (2018)</w:t>
        </w:r>
      </w:hyperlink>
    </w:p>
    <w:p>
      <w:pPr>
        <w:pStyle w:val="ListBullet"/>
      </w:pPr>
      <w:hyperlink r:id="rId26">
        <w:r>
          <w:rPr>
            <w:rStyle w:val="Hyperlink"/>
            <w:sz w:val="18"/>
            <w:color w:val="0563C1"/>
            <w:u w:val="single"/>
          </w:rPr>
          <w:t xml:space="preserve">DOJ — State Street USD 115m criminal penalty / Deferred Prosecution Agreement (2017)</w:t>
        </w:r>
      </w:hyperlink>
    </w:p>
    <w:p>
      <w:pPr>
        <w:pStyle w:val="ListBullet"/>
      </w:pPr>
      <w:hyperlink r:id="rId29">
        <w:r>
          <w:rPr>
            <w:rStyle w:val="Hyperlink"/>
            <w:sz w:val="18"/>
            <w:color w:val="0563C1"/>
            <w:u w:val="single"/>
          </w:rPr>
          <w:t xml:space="preserve">SEC press release — State Street pays USD 88m for undisclosed SWIFT markups (2019)</w:t>
        </w:r>
      </w:hyperlink>
    </w:p>
    <w:p>
      <w:pPr>
        <w:pStyle w:val="ListBullet"/>
      </w:pPr>
      <w:hyperlink r:id="rId27">
        <w:r>
          <w:rPr>
            <w:rStyle w:val="Hyperlink"/>
            <w:sz w:val="18"/>
            <w:color w:val="0563C1"/>
            <w:u w:val="single"/>
          </w:rPr>
          <w:t xml:space="preserve">DOJ — State Street USD 382m FX fraud settlement (2017)</w:t>
        </w:r>
      </w:hyperlink>
    </w:p>
    <w:p>
      <w:pPr>
        <w:pStyle w:val="ListBullet"/>
      </w:pPr>
      <w:hyperlink r:id="rId25">
        <w:r>
          <w:rPr>
            <w:rStyle w:val="Hyperlink"/>
            <w:sz w:val="18"/>
            <w:color w:val="0563C1"/>
            <w:u w:val="single"/>
          </w:rPr>
          <w:t xml:space="preserve">Federal Reserve Bank of New York — Customer and employee losses in Lehman's bankruptcy</w:t>
        </w:r>
      </w:hyperlink>
    </w:p>
    <w:p>
      <w:pPr>
        <w:pStyle w:val="ListBullet"/>
      </w:pPr>
      <w:hyperlink r:id="rId31">
        <w:r>
          <w:rPr>
            <w:rStyle w:val="Hyperlink"/>
            <w:sz w:val="18"/>
            <w:color w:val="0563C1"/>
            <w:u w:val="single"/>
          </w:rPr>
          <w:t xml:space="preserve">Wikipedia — Wirecard scandal (escrow / trustee verification failure)</w:t>
        </w:r>
      </w:hyperlink>
    </w:p>
    <w:p>
      <w:pPr>
        <w:pStyle w:val="ListBullet"/>
      </w:pPr>
      <w:hyperlink r:id="rId24">
        <w:r>
          <w:rPr>
            <w:rStyle w:val="Hyperlink"/>
            <w:sz w:val="18"/>
            <w:color w:val="0563C1"/>
            <w:u w:val="single"/>
          </w:rPr>
          <w:t xml:space="preserve">Globe &amp; Mail — HSBC Luxembourg Madoff appeal (Oct 2025, USD 1.1bn provision)</w:t>
        </w:r>
      </w:hyperlink>
    </w:p>
    <w:p>
      <w:pPr>
        <w:pStyle w:val="ListBullet"/>
      </w:pPr>
      <w:hyperlink r:id="rId38">
        <w:r>
          <w:rPr>
            <w:rStyle w:val="Hyperlink"/>
            <w:sz w:val="18"/>
            <w:color w:val="0563C1"/>
            <w:u w:val="single"/>
          </w:rPr>
          <w:t xml:space="preserve">Wikipedia — Thema International Fund (Madoff feeder, HSBC Ireland depositary)</w:t>
        </w:r>
      </w:hyperlink>
    </w:p>
    <w:p>
      <w:r>
        <w:rPr>
          <w:sz w:val="18"/>
        </w:rPr>
        <w:t>Note on PDF mirroring: EUR-Lex (Cloudflare WAF), SEC.gov (rate limits) and IOSCO.org (403) blocked programmatic downloads. Their canonical URLs above remain authoritative; the locally-mirrored set in the reference folder concentrates on ESMA primary sources and secondary commentary that was freely scrapable.</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EN/legal-content/summary/rules-on-the-obligations-of-depositaries-for-eu-investment-funds.html" TargetMode="External"/><Relationship Id="rId10" Type="http://schemas.openxmlformats.org/officeDocument/2006/relationships/hyperlink" Target="https://www.esma.europa.eu/sites/default/files/library/esma34-45-277_opinion_34_on_asset_segregation_and_custody_services.pdf" TargetMode="External"/><Relationship Id="rId11" Type="http://schemas.openxmlformats.org/officeDocument/2006/relationships/hyperlink" Target="https://kpmg.com/lu/en/insights/operations/depositary-banking-custodian-services-survey-2025.html" TargetMode="External"/><Relationship Id="rId12" Type="http://schemas.openxmlformats.org/officeDocument/2006/relationships/hyperlink" Target="https://eur-lex.europa.eu/legal-content/EN/TXT/?uri=CELEX:32024L0927" TargetMode="External"/><Relationship Id="rId13" Type="http://schemas.openxmlformats.org/officeDocument/2006/relationships/hyperlink" Target="https://eur-lex.europa.eu/legal-content/EN/TXT/?uri=CELEX:32014L0091" TargetMode="External"/><Relationship Id="rId14" Type="http://schemas.openxmlformats.org/officeDocument/2006/relationships/hyperlink" Target="https://eur-lex.europa.eu/legal-content/EN/TXT/?uri=CELEX:32011L0061" TargetMode="External"/><Relationship Id="rId15" Type="http://schemas.openxmlformats.org/officeDocument/2006/relationships/hyperlink" Target="https://eur-lex.europa.eu/legal-content/EN/TXT/?uri=CELEX:32016R0438" TargetMode="External"/><Relationship Id="rId16" Type="http://schemas.openxmlformats.org/officeDocument/2006/relationships/hyperlink" Target="https://www.esma.europa.eu/publications-and-data/interactive-single-rulebook/ucits/article-22" TargetMode="External"/><Relationship Id="rId17" Type="http://schemas.openxmlformats.org/officeDocument/2006/relationships/hyperlink" Target="https://www.aima.org/article/esma-opines-about-aifmd-ucits-directive-segregation-and-treatment-of-csds.html" TargetMode="External"/><Relationship Id="rId18" Type="http://schemas.openxmlformats.org/officeDocument/2006/relationships/hyperlink" Target="https://www.linklaters.com/en/insights/publications/aifmd/depositaries" TargetMode="External"/><Relationship Id="rId19" Type="http://schemas.openxmlformats.org/officeDocument/2006/relationships/hyperlink" Target="https://funds-europe.com/margin-pressure/" TargetMode="External"/><Relationship Id="rId20" Type="http://schemas.openxmlformats.org/officeDocument/2006/relationships/hyperlink" Target="https://delano.lu/article/h2o-case-natixis-im-caceis-kpm" TargetMode="External"/><Relationship Id="rId21" Type="http://schemas.openxmlformats.org/officeDocument/2006/relationships/hyperlink" Target="https://www.deminor.com/en/case/h2o" TargetMode="External"/><Relationship Id="rId22" Type="http://schemas.openxmlformats.org/officeDocument/2006/relationships/hyperlink" Target="https://www.ey.com/en_lu/insights/wealth-asset-management/costs-and-charges-of-funds-in-europe-and-luxembourg-supervisory-landscape-market-trends-and-strategic-implications" TargetMode="External"/><Relationship Id="rId23" Type="http://schemas.openxmlformats.org/officeDocument/2006/relationships/hyperlink" Target="https://blogs.law.ox.ac.uk/business-law-blog/blog/2016/12/madoff-litigation-ucits-investor-rights-and-depositary-liability" TargetMode="External"/><Relationship Id="rId24" Type="http://schemas.openxmlformats.org/officeDocument/2006/relationships/hyperlink" Target="https://www.theglobeandmail.com/business/international-business/european-business/article-hsbc-luxembourg-unit-loses-appeal-bernard-madoff-case/" TargetMode="External"/><Relationship Id="rId25" Type="http://schemas.openxmlformats.org/officeDocument/2006/relationships/hyperlink" Target="https://libertystreeteconomics.newyorkfed.org/2019/01/customer-and-employee-losses-in-lehmans-bankruptcy/" TargetMode="External"/><Relationship Id="rId26" Type="http://schemas.openxmlformats.org/officeDocument/2006/relationships/hyperlink" Target="https://www.justice.gov/usao-ma/pr/state-street-corporation-pay-115-million-criminal-penalty-and-enter-deferred-prosecution" TargetMode="External"/><Relationship Id="rId27" Type="http://schemas.openxmlformats.org/officeDocument/2006/relationships/hyperlink" Target="https://www.justice.gov/archives/opa/pr/state-street-bank-pay-382-million-settle-allegations-fraudulent-foreign-currency-exchange" TargetMode="External"/><Relationship Id="rId28" Type="http://schemas.openxmlformats.org/officeDocument/2006/relationships/hyperlink" Target="https://www.sec.gov/newsroom/press-releases/2018-285" TargetMode="External"/><Relationship Id="rId29" Type="http://schemas.openxmlformats.org/officeDocument/2006/relationships/hyperlink" Target="https://www.sec.gov/newsroom/press-releases/2019-114" TargetMode="External"/><Relationship Id="rId30" Type="http://schemas.openxmlformats.org/officeDocument/2006/relationships/hyperlink" Target="https://www.amf-france.org/en/news-publications/news-releases/sanctions-commission/sanctions-commission-amf-imposes-record-fines-h2o-am-and-its-co-founders-bruno-crastes-and-vincent" TargetMode="External"/><Relationship Id="rId31" Type="http://schemas.openxmlformats.org/officeDocument/2006/relationships/hyperlink" Target="https://en.wikipedia.org/wiki/Wirecard_scandal" TargetMode="External"/><Relationship Id="rId32" Type="http://schemas.openxmlformats.org/officeDocument/2006/relationships/hyperlink" Target="https://eur-lex.europa.eu/legal-content/EN/TXT/?uri=CELEX:32013R0231" TargetMode="External"/><Relationship Id="rId33" Type="http://schemas.openxmlformats.org/officeDocument/2006/relationships/hyperlink" Target="https://www.esma.europa.eu/sites/default/files/library/esma34-32-551_esma_letter_on_aifmd_review.pdf" TargetMode="External"/><Relationship Id="rId34" Type="http://schemas.openxmlformats.org/officeDocument/2006/relationships/hyperlink" Target="https://www.esma.europa.eu/document/questions-answers-application-aifmd" TargetMode="External"/><Relationship Id="rId35" Type="http://schemas.openxmlformats.org/officeDocument/2006/relationships/hyperlink" Target="https://www.esma.europa.eu/document/questions-answers-application-ucits-directive" TargetMode="External"/><Relationship Id="rId36" Type="http://schemas.openxmlformats.org/officeDocument/2006/relationships/hyperlink" Target="https://www.cssf.lu/en/depositary-bank/" TargetMode="External"/><Relationship Id="rId37" Type="http://schemas.openxmlformats.org/officeDocument/2006/relationships/hyperlink" Target="https://www.iosco.org/library/pubdocs/pdf/IOSCOPD351.pdf" TargetMode="External"/><Relationship Id="rId38" Type="http://schemas.openxmlformats.org/officeDocument/2006/relationships/hyperlink" Target="https://en.wikipedia.org/wiki/Thema_International_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