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Spain Depositary Business — Competitive Landscape</w:t>
      </w:r>
    </w:p>
    <w:p>
      <w:r>
        <w:rPr>
          <w:i/>
          <w:color w:val="606070"/>
        </w:rPr>
        <w:t>Q4 2025 view · Combined: FI + SICAV + Pensiones + EPSV + Alternativos · Industry total per FundsPeople IX 2026: €694B (+12% YoY)</w:t>
      </w:r>
    </w:p>
    <w:p>
      <w:pPr>
        <w:pStyle w:val="Heading1"/>
      </w:pPr>
      <w:r>
        <w:t>Executive Summary</w:t>
      </w:r>
    </w:p>
    <w:p>
      <w:r>
        <w:t>The Spanish depositary universe totalled €694B at end-2025 (FundsPeople IX 2026), +12% year-on-year. The market splits into five product categories: Fondos de Inversión (€475B per CNMV Q4), SICAVs (€16B), Fondos de Pensiones (€138B per INVERCO Q4 2025: €96B individual + €41B employment), EPSV (≈€33B Basque voluntary social welfare) and Alternativos (≈€38B FIL + Capital Riesgo). The top five entities control 92% of total volume.</w:t>
      </w:r>
    </w:p>
    <w:p>
      <w:r>
        <w:t>Cecabank dominates at €268B (its own annual report cites €285.7B patrimonio depositado at end-2025), driven by (i) the captive savings-bank consortium (CaixaBank, Ibercaja, Kutxabank, Unicaja, Abanca) channelling its €206B FI book and (ii) ~45% market share of Spanish pension custody (≈€62B). CACEIS (€98B), BBVA (€61B FI+SICAV only — true figure higher with pensions) and BNP Paribas Securities Services (€62B) form the second tier. BNP differs sharply from BBVA in mix: €23.9B in alternativos versus negligible pensions, the precise opposite of BBVA's profile.</w:t>
      </w:r>
    </w:p>
    <w:p>
      <w:r>
        <w:t>Banco Inversis sits at €18.2B (rank #6, 3.2% of total depositary). The headline understates the underlying business: Inversis is #2 by gestoras served (29, behind only CACEIS), #2 in alternativos by entity count (272 FIL/FCR/SCR/SICC/FICC entities), and the only top-tier depositary positioned explicitly as a non-captive third-party provider for independent and Andorran-origin gestoras.</w:t>
      </w:r>
    </w:p>
    <w:p>
      <w:pPr>
        <w:pStyle w:val="Heading1"/>
      </w:pPr>
      <w:r>
        <w:t>Sources &amp; methodology</w:t>
      </w:r>
    </w:p>
    <w:p>
      <w:r>
        <w:t>This analysis blends two source families. Spanish funds are regulated and reported through different bodies depending on the product, so no single feed covers the entire depositary universe.</w:t>
      </w:r>
    </w:p>
    <w:p>
      <w:r>
        <w:rPr>
          <w:b/>
        </w:rPr>
        <w:t>Official / regulator data (used for FI, SICAV, alternativos entity counts)</w:t>
      </w:r>
    </w:p>
    <w:p>
      <w:r>
        <w:t>CNMV Estadísticas IIC — quarterly Excel files (A1.1 fund register with depositary, A2.2 fees, Cuadro 6.1 FIL aggregate).</w:t>
      </w:r>
      <w:r>
        <w:rPr>
          <w:i/>
          <w:color w:val="606070"/>
          <w:sz w:val="18"/>
        </w:rPr>
        <w:t xml:space="preserve"> </w:t>
      </w:r>
      <w:hyperlink r:id="rId9">
        <w:r>
          <w:rPr>
            <w:rStyle w:val="Hyperlink"/>
            <w:color w:val="0563C1"/>
            <w:u w:val="single"/>
            <w:sz w:val="18"/>
          </w:rPr>
          <w:t>CNMV Estadísticas IIC portal</w:t>
        </w:r>
      </w:hyperlink>
      <w:r>
        <w:rPr>
          <w:i/>
          <w:color w:val="606070"/>
          <w:sz w:val="18"/>
        </w:rPr>
        <w:t>]</w:t>
      </w:r>
      <w:r>
        <w:rPr>
          <w:i/>
          <w:color w:val="606070"/>
          <w:sz w:val="18"/>
        </w:rPr>
        <w:t xml:space="preserve"> · </w:t>
      </w:r>
      <w:hyperlink r:id="rId10">
        <w:r>
          <w:rPr>
            <w:rStyle w:val="Hyperlink"/>
            <w:color w:val="0563C1"/>
            <w:u w:val="single"/>
            <w:sz w:val="18"/>
          </w:rPr>
          <w:t>Q4 2025 Resumen PDF</w:t>
        </w:r>
      </w:hyperlink>
      <w:r>
        <w:rPr>
          <w:i/>
          <w:color w:val="606070"/>
          <w:sz w:val="18"/>
        </w:rPr>
        <w:t>]</w:t>
      </w:r>
    </w:p>
    <w:p>
      <w:r>
        <w:t>CNMV SOCREGISTRO + SOCTRIM — SICAV register and quarterly stats (XML, session-gated portal).</w:t>
      </w:r>
      <w:r>
        <w:rPr>
          <w:i/>
          <w:color w:val="606070"/>
          <w:sz w:val="18"/>
        </w:rPr>
        <w:t xml:space="preserve"> </w:t>
      </w:r>
      <w:hyperlink r:id="rId11">
        <w:r>
          <w:rPr>
            <w:rStyle w:val="Hyperlink"/>
            <w:color w:val="0563C1"/>
            <w:u w:val="single"/>
            <w:sz w:val="18"/>
          </w:rPr>
          <w:t>CNMV portal</w:t>
        </w:r>
      </w:hyperlink>
      <w:r>
        <w:rPr>
          <w:i/>
          <w:color w:val="606070"/>
          <w:sz w:val="18"/>
        </w:rPr>
        <w:t>]</w:t>
      </w:r>
    </w:p>
    <w:p>
      <w:r>
        <w:t>CNMV per-entity registry pages (FIL, FCR/SCR, SICC/FICC, FILPE) — entity counts per depositary; per-entity AUM is not published.</w:t>
      </w:r>
      <w:r>
        <w:rPr>
          <w:i/>
          <w:color w:val="606070"/>
          <w:sz w:val="18"/>
        </w:rPr>
        <w:t xml:space="preserve"> </w:t>
      </w:r>
      <w:hyperlink r:id="rId12">
        <w:r>
          <w:rPr>
            <w:rStyle w:val="Hyperlink"/>
            <w:color w:val="0563C1"/>
            <w:u w:val="single"/>
            <w:sz w:val="18"/>
          </w:rPr>
          <w:t>Sociedades depositarias consulta</w:t>
        </w:r>
      </w:hyperlink>
      <w:r>
        <w:rPr>
          <w:i/>
          <w:color w:val="606070"/>
          <w:sz w:val="18"/>
        </w:rPr>
        <w:t>]</w:t>
      </w:r>
    </w:p>
    <w:p>
      <w:r>
        <w:t>INVERCO Fondos de Pensiones — quarterly bulletin with national totals and breakdown by Individual / Empleo / Asociado systems. No per-depositary breakdown published.</w:t>
      </w:r>
      <w:r>
        <w:rPr>
          <w:i/>
          <w:color w:val="606070"/>
          <w:sz w:val="18"/>
        </w:rPr>
        <w:t xml:space="preserve"> </w:t>
      </w:r>
      <w:hyperlink r:id="rId13">
        <w:r>
          <w:rPr>
            <w:rStyle w:val="Hyperlink"/>
            <w:color w:val="0563C1"/>
            <w:u w:val="single"/>
            <w:sz w:val="18"/>
          </w:rPr>
          <w:t>INVERCO Q4 2025 nota de prensa</w:t>
        </w:r>
      </w:hyperlink>
      <w:r>
        <w:rPr>
          <w:i/>
          <w:color w:val="606070"/>
          <w:sz w:val="18"/>
        </w:rPr>
        <w:t>]</w:t>
      </w:r>
      <w:r>
        <w:rPr>
          <w:i/>
          <w:color w:val="606070"/>
          <w:sz w:val="18"/>
        </w:rPr>
        <w:t xml:space="preserve"> · </w:t>
      </w:r>
      <w:hyperlink r:id="rId14">
        <w:r>
          <w:rPr>
            <w:rStyle w:val="Hyperlink"/>
            <w:color w:val="0563C1"/>
            <w:u w:val="single"/>
            <w:sz w:val="18"/>
          </w:rPr>
          <w:t>Q4 2025 PDF</w:t>
        </w:r>
      </w:hyperlink>
      <w:r>
        <w:rPr>
          <w:i/>
          <w:color w:val="606070"/>
          <w:sz w:val="18"/>
        </w:rPr>
        <w:t>]</w:t>
      </w:r>
    </w:p>
    <w:p>
      <w:r>
        <w:rPr>
          <w:b/>
        </w:rPr>
        <w:t>Industry survey (used for per-depositary pensions, EPSV and true alternativos AUM)</w:t>
      </w:r>
    </w:p>
    <w:p>
      <w:r>
        <w:t>FundsPeople IX Ranking de Depositaría 2026 — annual industry survey of all custodians by 5 segments. Paywalled / registration-required.</w:t>
      </w:r>
      <w:r>
        <w:rPr>
          <w:i/>
          <w:color w:val="606070"/>
          <w:sz w:val="18"/>
        </w:rPr>
        <w:t xml:space="preserve"> </w:t>
      </w:r>
      <w:hyperlink r:id="rId15">
        <w:r>
          <w:rPr>
            <w:rStyle w:val="Hyperlink"/>
            <w:color w:val="0563C1"/>
            <w:u w:val="single"/>
            <w:sz w:val="18"/>
          </w:rPr>
          <w:t>FundsPeople IX 2026 ranking</w:t>
        </w:r>
      </w:hyperlink>
      <w:r>
        <w:rPr>
          <w:i/>
          <w:color w:val="606070"/>
          <w:sz w:val="18"/>
        </w:rPr>
        <w:t>]</w:t>
      </w:r>
      <w:r>
        <w:rPr>
          <w:i/>
          <w:color w:val="606070"/>
          <w:sz w:val="18"/>
        </w:rPr>
        <w:t xml:space="preserve"> · </w:t>
      </w:r>
      <w:hyperlink r:id="rId16">
        <w:r>
          <w:rPr>
            <w:rStyle w:val="Hyperlink"/>
            <w:color w:val="0563C1"/>
            <w:u w:val="single"/>
            <w:sz w:val="18"/>
          </w:rPr>
          <w:t>Hoja de ruta 2026 commentary</w:t>
        </w:r>
      </w:hyperlink>
      <w:r>
        <w:rPr>
          <w:i/>
          <w:color w:val="606070"/>
          <w:sz w:val="18"/>
        </w:rPr>
        <w:t>]</w:t>
      </w:r>
    </w:p>
    <w:p>
      <w:r>
        <w:rPr>
          <w:b/>
        </w:rPr>
        <w:t>Entity-level public disclosures (used for cross-checks)</w:t>
      </w:r>
    </w:p>
    <w:p>
      <w:r>
        <w:t>Cecabank Q4 2025 results — €285.7B patrimonio depositado, €398.8B activos bajo custodia, ~45% pension custody share (own marketing).</w:t>
      </w:r>
      <w:r>
        <w:rPr>
          <w:i/>
          <w:color w:val="606070"/>
          <w:sz w:val="18"/>
        </w:rPr>
        <w:t xml:space="preserve"> </w:t>
      </w:r>
      <w:hyperlink r:id="rId17">
        <w:r>
          <w:rPr>
            <w:rStyle w:val="Hyperlink"/>
            <w:color w:val="0563C1"/>
            <w:u w:val="single"/>
            <w:sz w:val="18"/>
          </w:rPr>
          <w:t>Cecabank PR April 2026</w:t>
        </w:r>
      </w:hyperlink>
      <w:r>
        <w:rPr>
          <w:i/>
          <w:color w:val="606070"/>
          <w:sz w:val="18"/>
        </w:rPr>
        <w:t>]</w:t>
      </w:r>
      <w:r>
        <w:rPr>
          <w:i/>
          <w:color w:val="606070"/>
          <w:sz w:val="18"/>
        </w:rPr>
        <w:t xml:space="preserve"> · </w:t>
      </w:r>
      <w:hyperlink r:id="rId18">
        <w:r>
          <w:rPr>
            <w:rStyle w:val="Hyperlink"/>
            <w:color w:val="0563C1"/>
            <w:u w:val="single"/>
            <w:sz w:val="18"/>
          </w:rPr>
          <w:t>PDF</w:t>
        </w:r>
      </w:hyperlink>
      <w:r>
        <w:rPr>
          <w:i/>
          <w:color w:val="606070"/>
          <w:sz w:val="18"/>
        </w:rPr>
        <w:t>]</w:t>
      </w:r>
      <w:r>
        <w:rPr>
          <w:i/>
          <w:color w:val="606070"/>
          <w:sz w:val="18"/>
        </w:rPr>
        <w:t xml:space="preserve"> · </w:t>
      </w:r>
      <w:hyperlink r:id="rId19">
        <w:r>
          <w:rPr>
            <w:rStyle w:val="Hyperlink"/>
            <w:color w:val="0563C1"/>
            <w:u w:val="single"/>
            <w:sz w:val="18"/>
          </w:rPr>
          <w:t>CaixaBank/VidaCaixa renewal</w:t>
        </w:r>
      </w:hyperlink>
      <w:r>
        <w:rPr>
          <w:i/>
          <w:color w:val="606070"/>
          <w:sz w:val="18"/>
        </w:rPr>
        <w:t>]</w:t>
      </w:r>
    </w:p>
    <w:p>
      <w:r>
        <w:t>CACEIS — became 100% Crédit Agricole in 2025 after Santander divested its 30.5% stake.</w:t>
      </w:r>
      <w:r>
        <w:rPr>
          <w:i/>
          <w:color w:val="606070"/>
          <w:sz w:val="18"/>
        </w:rPr>
        <w:t xml:space="preserve"> </w:t>
      </w:r>
      <w:hyperlink r:id="rId20">
        <w:r>
          <w:rPr>
            <w:rStyle w:val="Hyperlink"/>
            <w:color w:val="0563C1"/>
            <w:u w:val="single"/>
            <w:sz w:val="18"/>
          </w:rPr>
          <w:t>Santander–Crédit Agricole agreement</w:t>
        </w:r>
      </w:hyperlink>
      <w:r>
        <w:rPr>
          <w:i/>
          <w:color w:val="606070"/>
          <w:sz w:val="18"/>
        </w:rPr>
        <w:t>]</w:t>
      </w:r>
    </w:p>
    <w:p>
      <w:r>
        <w:t>Inversis — depositary book grew +36% to €17B in 2024; Banca March sold 49% to Euroclear (March 2025).</w:t>
      </w:r>
      <w:r>
        <w:rPr>
          <w:i/>
          <w:color w:val="606070"/>
          <w:sz w:val="18"/>
        </w:rPr>
        <w:t xml:space="preserve"> </w:t>
      </w:r>
      <w:hyperlink r:id="rId21">
        <w:r>
          <w:rPr>
            <w:rStyle w:val="Hyperlink"/>
            <w:color w:val="0563C1"/>
            <w:u w:val="single"/>
            <w:sz w:val="18"/>
          </w:rPr>
          <w:t>Inversis growth note</w:t>
        </w:r>
      </w:hyperlink>
      <w:r>
        <w:rPr>
          <w:i/>
          <w:color w:val="606070"/>
          <w:sz w:val="18"/>
        </w:rPr>
        <w:t>]</w:t>
      </w:r>
      <w:r>
        <w:rPr>
          <w:i/>
          <w:color w:val="606070"/>
          <w:sz w:val="18"/>
        </w:rPr>
        <w:t xml:space="preserve"> · </w:t>
      </w:r>
      <w:hyperlink r:id="rId22">
        <w:r>
          <w:rPr>
            <w:rStyle w:val="Hyperlink"/>
            <w:color w:val="0563C1"/>
            <w:u w:val="single"/>
            <w:sz w:val="18"/>
          </w:rPr>
          <w:t>Banca March / Euroclear deal</w:t>
        </w:r>
      </w:hyperlink>
      <w:r>
        <w:rPr>
          <w:i/>
          <w:color w:val="606070"/>
          <w:sz w:val="18"/>
        </w:rPr>
        <w:t>]</w:t>
      </w:r>
    </w:p>
    <w:p>
      <w:pPr>
        <w:pStyle w:val="Heading1"/>
      </w:pPr>
      <w:r>
        <w:t>Reconciling official data with the FundsPeople ranking</w:t>
      </w:r>
    </w:p>
    <w:p>
      <w:r>
        <w:t>The two source families produce different totals because they cover different scopes. CNMV is the authoritative regulator for FI and SICAV but does not publish per-entity AUM for pensiones, EPSV or FCR/Capital Riesgo. INVERCO publishes pension industry totals but no per-depositary breakdown. FundsPeople surveys each depositary directly and reports the breakdown across all five segments — but the full table sits behind a paywall. The headline reconciliation: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1F2A44"/>
          </w:tcPr>
          <w:p>
            <w:r>
              <w:rPr>
                <w:b/>
                <w:color w:val="FFFFFF"/>
              </w:rPr>
              <w:t>Component</w:t>
            </w:r>
          </w:p>
        </w:tc>
        <w:tc>
          <w:tcPr>
            <w:tcW w:type="dxa" w:w="2880"/>
            <w:shd w:fill="1F2A44"/>
          </w:tcPr>
          <w:p>
            <w:r>
              <w:rPr>
                <w:b/>
                <w:color w:val="FFFFFF"/>
              </w:rPr>
              <w:t>€B</w:t>
            </w:r>
          </w:p>
        </w:tc>
        <w:tc>
          <w:tcPr>
            <w:tcW w:type="dxa" w:w="2880"/>
            <w:shd w:fill="1F2A44"/>
          </w:tcPr>
          <w:p>
            <w:r>
              <w:rPr>
                <w:b/>
                <w:color w:val="FFFFFF"/>
              </w:rPr>
              <w:t>Source</w:t>
            </w:r>
          </w:p>
        </w:tc>
      </w:tr>
      <w:tr>
        <w:tc>
          <w:tcPr>
            <w:tcW w:type="dxa" w:w="2880"/>
          </w:tcPr>
          <w:p>
            <w:r>
              <w:t>Fondos de Inversión (FI)</w:t>
            </w:r>
          </w:p>
        </w:tc>
        <w:tc>
          <w:tcPr>
            <w:tcW w:type="dxa" w:w="2880"/>
          </w:tcPr>
          <w:p>
            <w:r>
              <w:t>474.6</w:t>
            </w:r>
          </w:p>
        </w:tc>
        <w:tc>
          <w:tcPr>
            <w:tcW w:type="dxa" w:w="2880"/>
          </w:tcPr>
          <w:p>
            <w:r>
              <w:t>CNMV Anexo A1.1, Q4 2025</w:t>
            </w:r>
          </w:p>
        </w:tc>
      </w:tr>
      <w:tr>
        <w:tc>
          <w:tcPr>
            <w:tcW w:type="dxa" w:w="2880"/>
          </w:tcPr>
          <w:p>
            <w:r>
              <w:t>SICAV</w:t>
            </w:r>
          </w:p>
        </w:tc>
        <w:tc>
          <w:tcPr>
            <w:tcW w:type="dxa" w:w="2880"/>
          </w:tcPr>
          <w:p>
            <w:r>
              <w:t>15.9</w:t>
            </w:r>
          </w:p>
        </w:tc>
        <w:tc>
          <w:tcPr>
            <w:tcW w:type="dxa" w:w="2880"/>
          </w:tcPr>
          <w:p>
            <w:r>
              <w:t>CNMV SOCREGISTRO/SOCTRIM Q2 2025</w:t>
            </w:r>
          </w:p>
        </w:tc>
      </w:tr>
      <w:tr>
        <w:tc>
          <w:tcPr>
            <w:tcW w:type="dxa" w:w="2880"/>
          </w:tcPr>
          <w:p>
            <w:r>
              <w:t>FIL aggregate (CNMV public)</w:t>
            </w:r>
          </w:p>
        </w:tc>
        <w:tc>
          <w:tcPr>
            <w:tcW w:type="dxa" w:w="2880"/>
          </w:tcPr>
          <w:p>
            <w:r>
              <w:t>8.0</w:t>
            </w:r>
          </w:p>
        </w:tc>
        <w:tc>
          <w:tcPr>
            <w:tcW w:type="dxa" w:w="2880"/>
          </w:tcPr>
          <w:p>
            <w:r>
              <w:t>CNMV Cuadro 6.1, Q2 2025</w:t>
            </w:r>
          </w:p>
        </w:tc>
      </w:tr>
      <w:tr>
        <w:tc>
          <w:tcPr>
            <w:tcW w:type="dxa" w:w="2880"/>
          </w:tcPr>
          <w:p>
            <w:r>
              <w:rPr>
                <w:b/>
              </w:rPr>
              <w:t>CNMV-derivable subtotal</w:t>
            </w:r>
          </w:p>
        </w:tc>
        <w:tc>
          <w:tcPr>
            <w:tcW w:type="dxa" w:w="2880"/>
          </w:tcPr>
          <w:p>
            <w:r>
              <w:rPr>
                <w:b/>
              </w:rPr>
              <w:t>498.6</w:t>
            </w:r>
          </w:p>
        </w:tc>
        <w:tc>
          <w:tcPr>
            <w:tcW w:type="dxa" w:w="2880"/>
          </w:tcPr>
          <w:p>
            <w:r>
              <w:rPr>
                <w:b/>
              </w:rPr>
              <w:t>— (sum of above)</w:t>
            </w:r>
          </w:p>
        </w:tc>
      </w:tr>
      <w:tr>
        <w:tc>
          <w:tcPr>
            <w:tcW w:type="dxa" w:w="2880"/>
          </w:tcPr>
          <w:p>
            <w:r>
              <w:t>+ Pensiones</w:t>
            </w:r>
          </w:p>
        </w:tc>
        <w:tc>
          <w:tcPr>
            <w:tcW w:type="dxa" w:w="2880"/>
          </w:tcPr>
          <w:p>
            <w:r>
              <w:t>138.0</w:t>
            </w:r>
          </w:p>
        </w:tc>
        <w:tc>
          <w:tcPr>
            <w:tcW w:type="dxa" w:w="2880"/>
          </w:tcPr>
          <w:p>
            <w:r>
              <w:t>INVERCO Q4 2025</w:t>
            </w:r>
          </w:p>
        </w:tc>
      </w:tr>
      <w:tr>
        <w:tc>
          <w:tcPr>
            <w:tcW w:type="dxa" w:w="2880"/>
          </w:tcPr>
          <w:p>
            <w:r>
              <w:t>+ EPSV</w:t>
            </w:r>
          </w:p>
        </w:tc>
        <w:tc>
          <w:tcPr>
            <w:tcW w:type="dxa" w:w="2880"/>
          </w:tcPr>
          <w:p>
            <w:r>
              <w:t>33.0</w:t>
            </w:r>
          </w:p>
        </w:tc>
        <w:tc>
          <w:tcPr>
            <w:tcW w:type="dxa" w:w="2880"/>
          </w:tcPr>
          <w:p>
            <w:r>
              <w:t>FundsPeople (Basque regulator basis)</w:t>
            </w:r>
          </w:p>
        </w:tc>
      </w:tr>
      <w:tr>
        <w:tc>
          <w:tcPr>
            <w:tcW w:type="dxa" w:w="2880"/>
          </w:tcPr>
          <w:p>
            <w:r>
              <w:t>+ True alternativos uplift over FIL only</w:t>
            </w:r>
          </w:p>
        </w:tc>
        <w:tc>
          <w:tcPr>
            <w:tcW w:type="dxa" w:w="2880"/>
          </w:tcPr>
          <w:p>
            <w:r>
              <w:t>30.5</w:t>
            </w:r>
          </w:p>
        </w:tc>
        <w:tc>
          <w:tcPr>
            <w:tcW w:type="dxa" w:w="2880"/>
          </w:tcPr>
          <w:p>
            <w:r>
              <w:t>FundsPeople (incl. FCR/Cap. Riesgo)</w:t>
            </w:r>
          </w:p>
        </w:tc>
      </w:tr>
      <w:tr>
        <w:tc>
          <w:tcPr>
            <w:tcW w:type="dxa" w:w="2880"/>
          </w:tcPr>
          <w:p>
            <w:r>
              <w:rPr>
                <w:b/>
              </w:rPr>
              <w:t>FundsPeople IX 2026 industry total</w:t>
            </w:r>
          </w:p>
        </w:tc>
        <w:tc>
          <w:tcPr>
            <w:tcW w:type="dxa" w:w="2880"/>
          </w:tcPr>
          <w:p>
            <w:r>
              <w:rPr>
                <w:b/>
              </w:rPr>
              <w:t>693.5</w:t>
            </w:r>
          </w:p>
        </w:tc>
        <w:tc>
          <w:tcPr>
            <w:tcW w:type="dxa" w:w="2880"/>
          </w:tcPr>
          <w:p>
            <w:r>
              <w:rPr>
                <w:b/>
              </w:rPr>
              <w:t>FundsPeople IX 2026</w:t>
            </w:r>
          </w:p>
        </w:tc>
      </w:tr>
    </w:tbl>
    <w:p>
      <w:r>
        <w:t>The gap between what the official feeds publish (499B) and what the industry actually custodies (694B) is roughly €195B — about 28% of the total market, made up of pensiones, EPSV and the FCR/Capital-Riesgo portion of alternativos. This gap is invisible in CNMV public data and is the principal reason why a B2B-survey source like FundsPeople is necessary to size the depositary opportunity.</w:t>
      </w:r>
    </w:p>
    <w:p>
      <w:pPr>
        <w:pStyle w:val="Heading2"/>
      </w:pPr>
      <w:r>
        <w:t>Per-depositary reconciliation (top 6, €B)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2A44"/>
          </w:tcPr>
          <w:p>
            <w:r>
              <w:rPr>
                <w:b/>
                <w:color w:val="FFFFFF"/>
              </w:rPr>
              <w:t>Depositary</w:t>
            </w:r>
          </w:p>
        </w:tc>
        <w:tc>
          <w:tcPr>
            <w:tcW w:type="dxa" w:w="1728"/>
            <w:shd w:fill="1F2A44"/>
          </w:tcPr>
          <w:p>
            <w:r>
              <w:rPr>
                <w:b/>
                <w:color w:val="FFFFFF"/>
              </w:rPr>
              <w:t>CNMV-only (FI+SICAV+FIL est)</w:t>
            </w:r>
          </w:p>
        </w:tc>
        <w:tc>
          <w:tcPr>
            <w:tcW w:type="dxa" w:w="1728"/>
            <w:shd w:fill="1F2A44"/>
          </w:tcPr>
          <w:p>
            <w:r>
              <w:rPr>
                <w:b/>
                <w:color w:val="FFFFFF"/>
              </w:rPr>
              <w:t>Combined (incl. FundsPeople overlay)</w:t>
            </w:r>
          </w:p>
        </w:tc>
        <w:tc>
          <w:tcPr>
            <w:tcW w:type="dxa" w:w="1728"/>
            <w:shd w:fill="1F2A44"/>
          </w:tcPr>
          <w:p>
            <w:r>
              <w:rPr>
                <w:b/>
                <w:color w:val="FFFFFF"/>
              </w:rPr>
              <w:t>Δ</w:t>
            </w:r>
          </w:p>
        </w:tc>
        <w:tc>
          <w:tcPr>
            <w:tcW w:type="dxa" w:w="1728"/>
            <w:shd w:fill="1F2A44"/>
          </w:tcPr>
          <w:p>
            <w:r>
              <w:rPr>
                <w:b/>
                <w:color w:val="FFFFFF"/>
              </w:rPr>
              <w:t>Why the gap</w:t>
            </w:r>
          </w:p>
        </w:tc>
      </w:tr>
      <w:tr>
        <w:tc>
          <w:tcPr>
            <w:tcW w:type="dxa" w:w="1728"/>
          </w:tcPr>
          <w:p>
            <w:r>
              <w:t>CECABANK</w:t>
            </w:r>
          </w:p>
        </w:tc>
        <w:tc>
          <w:tcPr>
            <w:tcW w:type="dxa" w:w="1728"/>
          </w:tcPr>
          <w:p>
            <w:r>
              <w:t>206.1</w:t>
            </w:r>
          </w:p>
        </w:tc>
        <w:tc>
          <w:tcPr>
            <w:tcW w:type="dxa" w:w="1728"/>
          </w:tcPr>
          <w:p>
            <w:r>
              <w:t>268.2</w:t>
            </w:r>
          </w:p>
        </w:tc>
        <w:tc>
          <w:tcPr>
            <w:tcW w:type="dxa" w:w="1728"/>
          </w:tcPr>
          <w:p>
            <w:r>
              <w:t>+62.1</w:t>
            </w:r>
          </w:p>
        </w:tc>
        <w:tc>
          <w:tcPr>
            <w:tcW w:type="dxa" w:w="1728"/>
          </w:tcPr>
          <w:p>
            <w:r>
              <w:t>+pensiones</w:t>
            </w:r>
          </w:p>
        </w:tc>
      </w:tr>
      <w:tr>
        <w:tc>
          <w:tcPr>
            <w:tcW w:type="dxa" w:w="1728"/>
          </w:tcPr>
          <w:p>
            <w:r>
              <w:t>CACEIS BANK SPAIN S.A.</w:t>
            </w:r>
          </w:p>
        </w:tc>
        <w:tc>
          <w:tcPr>
            <w:tcW w:type="dxa" w:w="1728"/>
          </w:tcPr>
          <w:p>
            <w:r>
              <w:t>97.7</w:t>
            </w:r>
          </w:p>
        </w:tc>
        <w:tc>
          <w:tcPr>
            <w:tcW w:type="dxa" w:w="1728"/>
          </w:tcPr>
          <w:p>
            <w:r>
              <w:t>97.7</w:t>
            </w:r>
          </w:p>
        </w:tc>
        <w:tc>
          <w:tcPr>
            <w:tcW w:type="dxa" w:w="1728"/>
          </w:tcPr>
          <w:p>
            <w:r>
              <w:t>+0.0</w:t>
            </w:r>
          </w:p>
        </w:tc>
        <w:tc>
          <w:tcPr>
            <w:tcW w:type="dxa" w:w="1728"/>
          </w:tcPr>
          <w:p>
            <w:r>
              <w:t>no published overlay (CNMV-only)</w:t>
            </w:r>
          </w:p>
        </w:tc>
      </w:tr>
      <w:tr>
        <w:tc>
          <w:tcPr>
            <w:tcW w:type="dxa" w:w="1728"/>
          </w:tcPr>
          <w:p>
            <w:r>
              <w:t>BNP PARIBAS S.A.</w:t>
            </w:r>
          </w:p>
        </w:tc>
        <w:tc>
          <w:tcPr>
            <w:tcW w:type="dxa" w:w="1728"/>
          </w:tcPr>
          <w:p>
            <w:r>
              <w:t>39.4</w:t>
            </w:r>
          </w:p>
        </w:tc>
        <w:tc>
          <w:tcPr>
            <w:tcW w:type="dxa" w:w="1728"/>
          </w:tcPr>
          <w:p>
            <w:r>
              <w:t>61.6</w:t>
            </w:r>
          </w:p>
        </w:tc>
        <w:tc>
          <w:tcPr>
            <w:tcW w:type="dxa" w:w="1728"/>
          </w:tcPr>
          <w:p>
            <w:r>
              <w:t>+22.2</w:t>
            </w:r>
          </w:p>
        </w:tc>
        <w:tc>
          <w:tcPr>
            <w:tcW w:type="dxa" w:w="1728"/>
          </w:tcPr>
          <w:p>
            <w:r>
              <w:t>+true alts vs FIL est</w:t>
            </w:r>
          </w:p>
        </w:tc>
      </w:tr>
      <w:tr>
        <w:tc>
          <w:tcPr>
            <w:tcW w:type="dxa" w:w="1728"/>
          </w:tcPr>
          <w:p>
            <w:r>
              <w:t>BILBAO VIZCAYA ARGENTARIA</w:t>
            </w:r>
          </w:p>
        </w:tc>
        <w:tc>
          <w:tcPr>
            <w:tcW w:type="dxa" w:w="1728"/>
          </w:tcPr>
          <w:p>
            <w:r>
              <w:t>61.4</w:t>
            </w:r>
          </w:p>
        </w:tc>
        <w:tc>
          <w:tcPr>
            <w:tcW w:type="dxa" w:w="1728"/>
          </w:tcPr>
          <w:p>
            <w:r>
              <w:t>61.4</w:t>
            </w:r>
          </w:p>
        </w:tc>
        <w:tc>
          <w:tcPr>
            <w:tcW w:type="dxa" w:w="1728"/>
          </w:tcPr>
          <w:p>
            <w:r>
              <w:t>+0.0</w:t>
            </w:r>
          </w:p>
        </w:tc>
        <w:tc>
          <w:tcPr>
            <w:tcW w:type="dxa" w:w="1728"/>
          </w:tcPr>
          <w:p>
            <w:r>
              <w:t>no published overlay (CNMV-only)</w:t>
            </w:r>
          </w:p>
        </w:tc>
      </w:tr>
      <w:tr>
        <w:tc>
          <w:tcPr>
            <w:tcW w:type="dxa" w:w="1728"/>
          </w:tcPr>
          <w:p>
            <w:r>
              <w:t>BANKINTER</w:t>
            </w:r>
          </w:p>
        </w:tc>
        <w:tc>
          <w:tcPr>
            <w:tcW w:type="dxa" w:w="1728"/>
          </w:tcPr>
          <w:p>
            <w:r>
              <w:t>27.8</w:t>
            </w:r>
          </w:p>
        </w:tc>
        <w:tc>
          <w:tcPr>
            <w:tcW w:type="dxa" w:w="1728"/>
          </w:tcPr>
          <w:p>
            <w:r>
              <w:t>27.8</w:t>
            </w:r>
          </w:p>
        </w:tc>
        <w:tc>
          <w:tcPr>
            <w:tcW w:type="dxa" w:w="1728"/>
          </w:tcPr>
          <w:p>
            <w:r>
              <w:t>-0.0</w:t>
            </w:r>
          </w:p>
        </w:tc>
        <w:tc>
          <w:tcPr>
            <w:tcW w:type="dxa" w:w="1728"/>
          </w:tcPr>
          <w:p>
            <w:r>
              <w:t>no published overlay (CNMV-only)</w:t>
            </w:r>
          </w:p>
        </w:tc>
      </w:tr>
      <w:tr>
        <w:tc>
          <w:tcPr>
            <w:tcW w:type="dxa" w:w="1728"/>
          </w:tcPr>
          <w:p>
            <w:r>
              <w:rPr>
                <w:b/>
              </w:rPr>
              <w:t>INVERSIS</w:t>
            </w:r>
          </w:p>
        </w:tc>
        <w:tc>
          <w:tcPr>
            <w:tcW w:type="dxa" w:w="1728"/>
          </w:tcPr>
          <w:p>
            <w:r>
              <w:rPr>
                <w:b/>
              </w:rPr>
              <w:t>16.4</w:t>
            </w:r>
          </w:p>
        </w:tc>
        <w:tc>
          <w:tcPr>
            <w:tcW w:type="dxa" w:w="1728"/>
          </w:tcPr>
          <w:p>
            <w:r>
              <w:rPr>
                <w:b/>
              </w:rPr>
              <w:t>18.2</w:t>
            </w:r>
          </w:p>
        </w:tc>
        <w:tc>
          <w:tcPr>
            <w:tcW w:type="dxa" w:w="1728"/>
          </w:tcPr>
          <w:p>
            <w:r>
              <w:rPr>
                <w:b/>
              </w:rPr>
              <w:t>+1.8</w:t>
            </w:r>
          </w:p>
        </w:tc>
        <w:tc>
          <w:tcPr>
            <w:tcW w:type="dxa" w:w="1728"/>
          </w:tcPr>
          <w:p>
            <w:r>
              <w:rPr>
                <w:b/>
              </w:rPr>
              <w:t>+pensiones, +EPSV, +true alts vs FIL est, FI scope diff</w:t>
            </w:r>
          </w:p>
        </w:tc>
      </w:tr>
    </w:tbl>
    <w:p>
      <w:r>
        <w:t>Cross-check: Cecabank's own April-2026 results PR cites €285.7B patrimonio depositado at end-2025 — about €17B above our overlay of €268.2B. The residual reflects Cecabank's higher-than-45% pension share or alternativos volumes not yet captured.</w:t>
      </w:r>
    </w:p>
    <w:p>
      <w:pPr>
        <w:pStyle w:val="Heading1"/>
      </w:pPr>
      <w:r>
        <w:t>Market structure (top 6 depositaries — €B)</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2A44"/>
          </w:tcPr>
          <w:p>
            <w:r>
              <w:rPr>
                <w:b/>
                <w:color w:val="FFFFFF"/>
              </w:rPr>
              <w:t>Depositary</w:t>
            </w:r>
          </w:p>
        </w:tc>
        <w:tc>
          <w:tcPr>
            <w:tcW w:type="dxa" w:w="1080"/>
            <w:shd w:fill="1F2A44"/>
          </w:tcPr>
          <w:p>
            <w:r>
              <w:rPr>
                <w:b/>
                <w:color w:val="FFFFFF"/>
              </w:rPr>
              <w:t>FI</w:t>
            </w:r>
          </w:p>
        </w:tc>
        <w:tc>
          <w:tcPr>
            <w:tcW w:type="dxa" w:w="1080"/>
            <w:shd w:fill="1F2A44"/>
          </w:tcPr>
          <w:p>
            <w:r>
              <w:rPr>
                <w:b/>
                <w:color w:val="FFFFFF"/>
              </w:rPr>
              <w:t>SICAV</w:t>
            </w:r>
          </w:p>
        </w:tc>
        <w:tc>
          <w:tcPr>
            <w:tcW w:type="dxa" w:w="1080"/>
            <w:shd w:fill="1F2A44"/>
          </w:tcPr>
          <w:p>
            <w:r>
              <w:rPr>
                <w:b/>
                <w:color w:val="FFFFFF"/>
              </w:rPr>
              <w:t>Alt</w:t>
            </w:r>
          </w:p>
        </w:tc>
        <w:tc>
          <w:tcPr>
            <w:tcW w:type="dxa" w:w="1080"/>
            <w:shd w:fill="1F2A44"/>
          </w:tcPr>
          <w:p>
            <w:r>
              <w:rPr>
                <w:b/>
                <w:color w:val="FFFFFF"/>
              </w:rPr>
              <w:t>Pensiones</w:t>
            </w:r>
          </w:p>
        </w:tc>
        <w:tc>
          <w:tcPr>
            <w:tcW w:type="dxa" w:w="1080"/>
            <w:shd w:fill="1F2A44"/>
          </w:tcPr>
          <w:p>
            <w:r>
              <w:rPr>
                <w:b/>
                <w:color w:val="FFFFFF"/>
              </w:rPr>
              <w:t>EPSV</w:t>
            </w:r>
          </w:p>
        </w:tc>
        <w:tc>
          <w:tcPr>
            <w:tcW w:type="dxa" w:w="1080"/>
            <w:shd w:fill="1F2A44"/>
          </w:tcPr>
          <w:p>
            <w:r>
              <w:rPr>
                <w:b/>
                <w:color w:val="FFFFFF"/>
              </w:rPr>
              <w:t>Combined</w:t>
            </w:r>
          </w:p>
        </w:tc>
        <w:tc>
          <w:tcPr>
            <w:tcW w:type="dxa" w:w="1080"/>
            <w:shd w:fill="1F2A44"/>
          </w:tcPr>
          <w:p>
            <w:r>
              <w:rPr>
                <w:b/>
                <w:color w:val="FFFFFF"/>
              </w:rPr>
              <w:t>Source</w:t>
            </w:r>
          </w:p>
        </w:tc>
      </w:tr>
      <w:tr>
        <w:tc>
          <w:tcPr>
            <w:tcW w:type="dxa" w:w="1080"/>
          </w:tcPr>
          <w:p>
            <w:r>
              <w:t>CECABANK</w:t>
            </w:r>
          </w:p>
        </w:tc>
        <w:tc>
          <w:tcPr>
            <w:tcW w:type="dxa" w:w="1080"/>
          </w:tcPr>
          <w:p>
            <w:r>
              <w:t>205.7</w:t>
            </w:r>
          </w:p>
        </w:tc>
        <w:tc>
          <w:tcPr>
            <w:tcW w:type="dxa" w:w="1080"/>
          </w:tcPr>
          <w:p>
            <w:r>
              <w:t>0.32</w:t>
            </w:r>
          </w:p>
        </w:tc>
        <w:tc>
          <w:tcPr>
            <w:tcW w:type="dxa" w:w="1080"/>
          </w:tcPr>
          <w:p>
            <w:r>
              <w:t>0.08*</w:t>
            </w:r>
          </w:p>
        </w:tc>
        <w:tc>
          <w:tcPr>
            <w:tcW w:type="dxa" w:w="1080"/>
          </w:tcPr>
          <w:p>
            <w:r>
              <w:t>62.1</w:t>
            </w:r>
          </w:p>
        </w:tc>
        <w:tc>
          <w:tcPr>
            <w:tcW w:type="dxa" w:w="1080"/>
          </w:tcPr>
          <w:p>
            <w:r>
              <w:t>n/a</w:t>
            </w:r>
          </w:p>
        </w:tc>
        <w:tc>
          <w:tcPr>
            <w:tcW w:type="dxa" w:w="1080"/>
          </w:tcPr>
          <w:p>
            <w:r>
              <w:t>268.2</w:t>
            </w:r>
          </w:p>
        </w:tc>
        <w:tc>
          <w:tcPr>
            <w:tcW w:type="dxa" w:w="1080"/>
          </w:tcPr>
          <w:p>
            <w:r>
              <w:t>FP</w:t>
            </w:r>
          </w:p>
        </w:tc>
      </w:tr>
      <w:tr>
        <w:tc>
          <w:tcPr>
            <w:tcW w:type="dxa" w:w="1080"/>
          </w:tcPr>
          <w:p>
            <w:r>
              <w:t>CACEIS BANK SPAIN S.A.</w:t>
            </w:r>
          </w:p>
        </w:tc>
        <w:tc>
          <w:tcPr>
            <w:tcW w:type="dxa" w:w="1080"/>
          </w:tcPr>
          <w:p>
            <w:r>
              <w:t>88.9</w:t>
            </w:r>
          </w:p>
        </w:tc>
        <w:tc>
          <w:tcPr>
            <w:tcW w:type="dxa" w:w="1080"/>
          </w:tcPr>
          <w:p>
            <w:r>
              <w:t>7.50</w:t>
            </w:r>
          </w:p>
        </w:tc>
        <w:tc>
          <w:tcPr>
            <w:tcW w:type="dxa" w:w="1080"/>
          </w:tcPr>
          <w:p>
            <w:r>
              <w:t>1.36*</w:t>
            </w:r>
          </w:p>
        </w:tc>
        <w:tc>
          <w:tcPr>
            <w:tcW w:type="dxa" w:w="1080"/>
          </w:tcPr>
          <w:p>
            <w:r>
              <w:t>n/a</w:t>
            </w:r>
          </w:p>
        </w:tc>
        <w:tc>
          <w:tcPr>
            <w:tcW w:type="dxa" w:w="1080"/>
          </w:tcPr>
          <w:p>
            <w:r>
              <w:t>n/a</w:t>
            </w:r>
          </w:p>
        </w:tc>
        <w:tc>
          <w:tcPr>
            <w:tcW w:type="dxa" w:w="1080"/>
          </w:tcPr>
          <w:p>
            <w:r>
              <w:t>97.7</w:t>
            </w:r>
          </w:p>
        </w:tc>
        <w:tc>
          <w:tcPr>
            <w:tcW w:type="dxa" w:w="1080"/>
          </w:tcPr>
          <w:p>
            <w:r>
              <w:t>FP</w:t>
            </w:r>
          </w:p>
        </w:tc>
      </w:tr>
      <w:tr>
        <w:tc>
          <w:tcPr>
            <w:tcW w:type="dxa" w:w="1080"/>
          </w:tcPr>
          <w:p>
            <w:r>
              <w:t>BNP PARIBAS S.A.</w:t>
            </w:r>
          </w:p>
        </w:tc>
        <w:tc>
          <w:tcPr>
            <w:tcW w:type="dxa" w:w="1080"/>
          </w:tcPr>
          <w:p>
            <w:r>
              <w:t>36.8</w:t>
            </w:r>
          </w:p>
        </w:tc>
        <w:tc>
          <w:tcPr>
            <w:tcW w:type="dxa" w:w="1080"/>
          </w:tcPr>
          <w:p>
            <w:r>
              <w:t>0.96</w:t>
            </w:r>
          </w:p>
        </w:tc>
        <w:tc>
          <w:tcPr>
            <w:tcW w:type="dxa" w:w="1080"/>
          </w:tcPr>
          <w:p>
            <w:r>
              <w:t>23.86</w:t>
            </w:r>
          </w:p>
        </w:tc>
        <w:tc>
          <w:tcPr>
            <w:tcW w:type="dxa" w:w="1080"/>
          </w:tcPr>
          <w:p>
            <w:r>
              <w:t>n/a</w:t>
            </w:r>
          </w:p>
        </w:tc>
        <w:tc>
          <w:tcPr>
            <w:tcW w:type="dxa" w:w="1080"/>
          </w:tcPr>
          <w:p>
            <w:r>
              <w:t>n/a</w:t>
            </w:r>
          </w:p>
        </w:tc>
        <w:tc>
          <w:tcPr>
            <w:tcW w:type="dxa" w:w="1080"/>
          </w:tcPr>
          <w:p>
            <w:r>
              <w:t>61.6</w:t>
            </w:r>
          </w:p>
        </w:tc>
        <w:tc>
          <w:tcPr>
            <w:tcW w:type="dxa" w:w="1080"/>
          </w:tcPr>
          <w:p>
            <w:r>
              <w:t>FP</w:t>
            </w:r>
          </w:p>
        </w:tc>
      </w:tr>
      <w:tr>
        <w:tc>
          <w:tcPr>
            <w:tcW w:type="dxa" w:w="1080"/>
          </w:tcPr>
          <w:p>
            <w:r>
              <w:t>BILBAO VIZCAYA ARGENTARIA</w:t>
            </w:r>
          </w:p>
        </w:tc>
        <w:tc>
          <w:tcPr>
            <w:tcW w:type="dxa" w:w="1080"/>
          </w:tcPr>
          <w:p>
            <w:r>
              <w:t>60.3</w:t>
            </w:r>
          </w:p>
        </w:tc>
        <w:tc>
          <w:tcPr>
            <w:tcW w:type="dxa" w:w="1080"/>
          </w:tcPr>
          <w:p>
            <w:r>
              <w:t>0.76</w:t>
            </w:r>
          </w:p>
        </w:tc>
        <w:tc>
          <w:tcPr>
            <w:tcW w:type="dxa" w:w="1080"/>
          </w:tcPr>
          <w:p>
            <w:r>
              <w:t>0.34*</w:t>
            </w:r>
          </w:p>
        </w:tc>
        <w:tc>
          <w:tcPr>
            <w:tcW w:type="dxa" w:w="1080"/>
          </w:tcPr>
          <w:p>
            <w:r>
              <w:t>n/a</w:t>
            </w:r>
          </w:p>
        </w:tc>
        <w:tc>
          <w:tcPr>
            <w:tcW w:type="dxa" w:w="1080"/>
          </w:tcPr>
          <w:p>
            <w:r>
              <w:t>n/a</w:t>
            </w:r>
          </w:p>
        </w:tc>
        <w:tc>
          <w:tcPr>
            <w:tcW w:type="dxa" w:w="1080"/>
          </w:tcPr>
          <w:p>
            <w:r>
              <w:t>61.4</w:t>
            </w:r>
          </w:p>
        </w:tc>
        <w:tc>
          <w:tcPr>
            <w:tcW w:type="dxa" w:w="1080"/>
          </w:tcPr>
          <w:p>
            <w:r>
              <w:t>CNMV</w:t>
            </w:r>
          </w:p>
        </w:tc>
      </w:tr>
      <w:tr>
        <w:tc>
          <w:tcPr>
            <w:tcW w:type="dxa" w:w="1080"/>
          </w:tcPr>
          <w:p>
            <w:r>
              <w:t>BANKINTER</w:t>
            </w:r>
          </w:p>
        </w:tc>
        <w:tc>
          <w:tcPr>
            <w:tcW w:type="dxa" w:w="1080"/>
          </w:tcPr>
          <w:p>
            <w:r>
              <w:t>25.1</w:t>
            </w:r>
          </w:p>
        </w:tc>
        <w:tc>
          <w:tcPr>
            <w:tcW w:type="dxa" w:w="1080"/>
          </w:tcPr>
          <w:p>
            <w:r>
              <w:t>2.30</w:t>
            </w:r>
          </w:p>
        </w:tc>
        <w:tc>
          <w:tcPr>
            <w:tcW w:type="dxa" w:w="1080"/>
          </w:tcPr>
          <w:p>
            <w:r>
              <w:t>0.42*</w:t>
            </w:r>
          </w:p>
        </w:tc>
        <w:tc>
          <w:tcPr>
            <w:tcW w:type="dxa" w:w="1080"/>
          </w:tcPr>
          <w:p>
            <w:r>
              <w:t>n/a</w:t>
            </w:r>
          </w:p>
        </w:tc>
        <w:tc>
          <w:tcPr>
            <w:tcW w:type="dxa" w:w="1080"/>
          </w:tcPr>
          <w:p>
            <w:r>
              <w:t>n/a</w:t>
            </w:r>
          </w:p>
        </w:tc>
        <w:tc>
          <w:tcPr>
            <w:tcW w:type="dxa" w:w="1080"/>
          </w:tcPr>
          <w:p>
            <w:r>
              <w:t>27.8</w:t>
            </w:r>
          </w:p>
        </w:tc>
        <w:tc>
          <w:tcPr>
            <w:tcW w:type="dxa" w:w="1080"/>
          </w:tcPr>
          <w:p>
            <w:r>
              <w:t>FP</w:t>
            </w:r>
          </w:p>
        </w:tc>
      </w:tr>
      <w:tr>
        <w:tc>
          <w:tcPr>
            <w:tcW w:type="dxa" w:w="1080"/>
          </w:tcPr>
          <w:p>
            <w:r>
              <w:rPr>
                <w:b/>
              </w:rPr>
              <w:t>INVERSIS</w:t>
            </w:r>
          </w:p>
        </w:tc>
        <w:tc>
          <w:tcPr>
            <w:tcW w:type="dxa" w:w="1080"/>
          </w:tcPr>
          <w:p>
            <w:r>
              <w:rPr>
                <w:b/>
              </w:rPr>
              <w:t>10.7</w:t>
            </w:r>
          </w:p>
        </w:tc>
        <w:tc>
          <w:tcPr>
            <w:tcW w:type="dxa" w:w="1080"/>
          </w:tcPr>
          <w:p>
            <w:r>
              <w:rPr>
                <w:b/>
              </w:rPr>
              <w:t>2.93</w:t>
            </w:r>
          </w:p>
        </w:tc>
        <w:tc>
          <w:tcPr>
            <w:tcW w:type="dxa" w:w="1080"/>
          </w:tcPr>
          <w:p>
            <w:r>
              <w:rPr>
                <w:b/>
              </w:rPr>
              <w:t>3.75</w:t>
            </w:r>
          </w:p>
        </w:tc>
        <w:tc>
          <w:tcPr>
            <w:tcW w:type="dxa" w:w="1080"/>
          </w:tcPr>
          <w:p>
            <w:r>
              <w:rPr>
                <w:b/>
              </w:rPr>
              <w:t>0.8</w:t>
            </w:r>
          </w:p>
        </w:tc>
        <w:tc>
          <w:tcPr>
            <w:tcW w:type="dxa" w:w="1080"/>
          </w:tcPr>
          <w:p>
            <w:r>
              <w:rPr>
                <w:b/>
              </w:rPr>
              <w:t>0.05</w:t>
            </w:r>
          </w:p>
        </w:tc>
        <w:tc>
          <w:tcPr>
            <w:tcW w:type="dxa" w:w="1080"/>
          </w:tcPr>
          <w:p>
            <w:r>
              <w:rPr>
                <w:b/>
              </w:rPr>
              <w:t>18.2</w:t>
            </w:r>
          </w:p>
        </w:tc>
        <w:tc>
          <w:tcPr>
            <w:tcW w:type="dxa" w:w="1080"/>
          </w:tcPr>
          <w:p>
            <w:r>
              <w:rPr>
                <w:b/>
              </w:rPr>
              <w:t>FP</w:t>
            </w:r>
          </w:p>
        </w:tc>
      </w:tr>
    </w:tbl>
    <w:p>
      <w:r>
        <w:rPr>
          <w:i/>
          <w:color w:val="606070"/>
          <w:sz w:val="18"/>
        </w:rPr>
        <w:t>FP = FundsPeople IX 2026 (data Q4 2025); CNMV = CNMV-derived (FI Anexo + SICAV registry; alts shown with * are FIL-only proportional estimate). Cells marked 'n/a' indicate no published value extracted from FundsPeople paywalled article.</w:t>
      </w:r>
    </w:p>
    <w:p>
      <w:pPr>
        <w:pStyle w:val="Heading1"/>
      </w:pPr>
      <w:r>
        <w:t>Player profiles</w:t>
      </w:r>
    </w:p>
    <w:p>
      <w:r>
        <w:t>Each profile follows the same structure: ownership and business model, target client and go-to-market strategy, key data points, and the nature of overlap with Inversis.</w:t>
      </w:r>
    </w:p>
    <w:p>
      <w:pPr>
        <w:pStyle w:val="Heading2"/>
      </w:pPr>
      <w:r>
        <w:t>Cecabank</w:t>
      </w:r>
    </w:p>
    <w:p>
      <w:r>
        <w:rPr>
          <w:b/>
        </w:rPr>
        <w:t xml:space="preserve">Ownership &amp; business model. </w:t>
      </w:r>
      <w:r>
        <w:t>Independent specialist B2B bank owned by the CECA cooperative of Spanish savings banks (cajas de ahorro). Pure custody, depositary and financial-markets-services focus — Cecabank does not operate its own asset-management or pension business, which removes the structural conflict-of-interest that affects bank-owned depositaries.</w:t>
      </w:r>
      <w:r>
        <w:rPr>
          <w:i/>
          <w:color w:val="606070"/>
          <w:sz w:val="18"/>
        </w:rPr>
        <w:t xml:space="preserve"> [Source: </w:t>
      </w:r>
      <w:hyperlink r:id="rId17">
        <w:r>
          <w:rPr>
            <w:rStyle w:val="Hyperlink"/>
            <w:color w:val="0563C1"/>
            <w:u w:val="single"/>
            <w:sz w:val="18"/>
          </w:rPr>
          <w:t>Cecabank corporate update Apr-2026</w:t>
        </w:r>
      </w:hyperlink>
      <w:r>
        <w:rPr>
          <w:i/>
          <w:color w:val="606070"/>
          <w:sz w:val="18"/>
        </w:rPr>
        <w:t>]</w:t>
      </w:r>
    </w:p>
    <w:p>
      <w:r>
        <w:rPr>
          <w:b/>
        </w:rPr>
        <w:t xml:space="preserve">Target &amp; strategy. </w:t>
      </w:r>
      <w:r>
        <w:t>Scale-driven mandate consolidation. Cecabank wins multi-decade exclusive depositary contracts from large Spanish bank-affiliated asset managers and pension companies that prefer to outsource depositary to a non-competing party. Active expansion into European fund administration ('asset servicing for institutions across Europe') and securities services for asset managers in Portugal and Luxembourg.</w:t>
      </w:r>
    </w:p>
    <w:p>
      <w:r>
        <w:rPr>
          <w:b/>
        </w:rPr>
        <w:t xml:space="preserve">Key data points. </w:t>
      </w:r>
      <w:r>
        <w:t>Combined AUM €268B in our overlay (own PR cites €285.7B patrimonio depositado, €398.8B incl. settlement and custody for international clients). FI book €206B dominated by CaixaBank AM (€102.6B), Ibercaja (€32.3B), Kutxabank (€28.1B), Unicaja (€12.6B), Abanca (€6.7B). Pensions custody ≈€62B (~45% of INVERCO total). FI fee 6.3 bps — among the lowest in market. 120 alternativos entities but only €0.08B FIL — essentially absent from the alternativos segment.</w:t>
      </w:r>
    </w:p>
    <w:p>
      <w:r>
        <w:rPr>
          <w:b/>
        </w:rPr>
        <w:t xml:space="preserve">Overlap with Inversis: </w:t>
      </w:r>
      <w:r>
        <w:t>LOW. Cecabank competes for very large captive bank/insurer mandates priced at 5–8 bps. Inversis competes for mid-size independent gestoras at 7–12 bps. The two compete on different segments and at incompatible price points. Cecabank's announced European expansion in fund administration could become a longer-term overlap, but not on Spanish depositary today.</w:t>
      </w:r>
    </w:p>
    <w:p>
      <w:pPr>
        <w:pStyle w:val="Heading2"/>
      </w:pPr>
      <w:r>
        <w:t>CACEIS Bank Spain</w:t>
      </w:r>
    </w:p>
    <w:p>
      <w:r>
        <w:rPr>
          <w:b/>
        </w:rPr>
        <w:t xml:space="preserve">Ownership &amp; business model. </w:t>
      </w:r>
      <w:r>
        <w:t>100% Crédit Agricole as of 2025, after Santander completed the divestiture of its 30.5% stake (announced December 2024, closed 2025). CACEIS Bank Spain holds the legacy Santander Custody depositary book that Santander transferred when the joint venture was originally formed.</w:t>
      </w:r>
      <w:r>
        <w:rPr>
          <w:i/>
          <w:color w:val="606070"/>
          <w:sz w:val="18"/>
        </w:rPr>
        <w:t xml:space="preserve"> [Source: </w:t>
      </w:r>
      <w:hyperlink r:id="rId20">
        <w:r>
          <w:rPr>
            <w:rStyle w:val="Hyperlink"/>
            <w:color w:val="0563C1"/>
            <w:u w:val="single"/>
            <w:sz w:val="18"/>
          </w:rPr>
          <w:t>Santander divests CACEIS to Crédit Agricole</w:t>
        </w:r>
      </w:hyperlink>
      <w:r>
        <w:rPr>
          <w:i/>
          <w:color w:val="606070"/>
          <w:sz w:val="18"/>
        </w:rPr>
        <w:t>]</w:t>
      </w:r>
      <w:r>
        <w:rPr>
          <w:i/>
          <w:color w:val="606070"/>
          <w:sz w:val="18"/>
        </w:rPr>
        <w:t xml:space="preserve"> · </w:t>
      </w:r>
      <w:hyperlink r:id="rId23">
        <w:r>
          <w:rPr>
            <w:rStyle w:val="Hyperlink"/>
            <w:color w:val="0563C1"/>
            <w:u w:val="single"/>
            <w:sz w:val="18"/>
          </w:rPr>
          <w:t>CACEIS corporate</w:t>
        </w:r>
      </w:hyperlink>
      <w:r>
        <w:rPr>
          <w:i/>
          <w:color w:val="606070"/>
          <w:sz w:val="18"/>
        </w:rPr>
        <w:t>]</w:t>
      </w:r>
    </w:p>
    <w:p>
      <w:r>
        <w:rPr>
          <w:b/>
        </w:rPr>
        <w:t xml:space="preserve">Target &amp; strategy. </w:t>
      </w:r>
      <w:r>
        <w:t>Pan-European institutional asset servicing. CACEIS is a global custodian with a multi-jurisdiction platform (depositary, fund administration, transfer agency, securities lending). In Spain it targets large asset managers needing cross-border servicing, ETF issuers, and SICAV vehicles. Crédit Agricole 100% control is expected to deepen integration with Amundi (Europe's largest asset manager), reinforcing CACEIS as the natural choice for Amundi distribution in Iberia.</w:t>
      </w:r>
    </w:p>
    <w:p>
      <w:r>
        <w:rPr>
          <w:b/>
        </w:rPr>
        <w:t xml:space="preserve">Key data points. </w:t>
      </w:r>
      <w:r>
        <w:t>Combined AUM €98B (FI €89B, SICAV €7.5B — second-largest SICAV book, FIL est €1.4B, 138 alternativos entities). FI book led by Santander AM (€66.5B, legacy mandate), Mutuactivos (€7.1B), Bestinver (€5.0B), Amundi Iberia (€4.3B), Santander Private Banking Gestión (€3.6B). 32 gestora relationships — the largest client count in Spain. Pension custody not separately disclosed in our data; expected mid-single-digit billions at most given Santander's modest pension footprint.</w:t>
      </w:r>
    </w:p>
    <w:p>
      <w:r>
        <w:rPr>
          <w:b/>
        </w:rPr>
        <w:t xml:space="preserve">Overlap with Inversis: </w:t>
      </w:r>
      <w:r>
        <w:t>HIGH. CACEIS is the closest direct competitor for mid-tier and boutique gestora mandates. Both have large independent client books (32 vs 29 gestoras). CACEIS wins on global platform breadth and Crédit Agricole/Amundi captive flows; Inversis wins on Spanish independence (no captive AM), B2B fund-distribution-platform integration, and willingness to take on Andorran-origin clients.</w:t>
      </w:r>
    </w:p>
    <w:p>
      <w:pPr>
        <w:pStyle w:val="Heading2"/>
      </w:pPr>
      <w:r>
        <w:t>BNP Paribas Securities Services</w:t>
      </w:r>
    </w:p>
    <w:p>
      <w:r>
        <w:rPr>
          <w:b/>
        </w:rPr>
        <w:t xml:space="preserve">Ownership &amp; business model. </w:t>
      </w:r>
      <w:r>
        <w:t>Spanish branch of BNP Paribas Securities Services (BP2S), the global custody arm of BNP Paribas. Built its Spanish franchise around the depositary book acquired from Banco Popular in 2008 and has since become the leading depositary for alternative investment funds in Spain. Positioned in industry commentary as '#1 depositary bank for independent asset managers in Spain'.</w:t>
      </w:r>
      <w:r>
        <w:rPr>
          <w:i/>
          <w:color w:val="606070"/>
          <w:sz w:val="18"/>
        </w:rPr>
        <w:t xml:space="preserve"> [Source: </w:t>
      </w:r>
      <w:hyperlink r:id="rId24">
        <w:r>
          <w:rPr>
            <w:rStyle w:val="Hyperlink"/>
            <w:color w:val="0563C1"/>
            <w:u w:val="single"/>
            <w:sz w:val="18"/>
          </w:rPr>
          <w:t>BNP PSS profile FundsPeople</w:t>
        </w:r>
      </w:hyperlink>
      <w:r>
        <w:rPr>
          <w:i/>
          <w:color w:val="606070"/>
          <w:sz w:val="18"/>
        </w:rPr>
        <w:t>]</w:t>
      </w:r>
      <w:r>
        <w:rPr>
          <w:i/>
          <w:color w:val="606070"/>
          <w:sz w:val="18"/>
        </w:rPr>
        <w:t xml:space="preserve"> · </w:t>
      </w:r>
      <w:hyperlink r:id="rId25">
        <w:r>
          <w:rPr>
            <w:rStyle w:val="Hyperlink"/>
            <w:color w:val="0563C1"/>
            <w:u w:val="single"/>
            <w:sz w:val="18"/>
          </w:rPr>
          <w:t>CNMV depositary registry</w:t>
        </w:r>
      </w:hyperlink>
      <w:r>
        <w:rPr>
          <w:i/>
          <w:color w:val="606070"/>
          <w:sz w:val="18"/>
        </w:rPr>
        <w:t>]</w:t>
      </w:r>
    </w:p>
    <w:p>
      <w:r>
        <w:rPr>
          <w:b/>
        </w:rPr>
        <w:t xml:space="preserve">Target &amp; strategy. </w:t>
      </w:r>
      <w:r>
        <w:t>Product-led: dominates the alternativos segment (FIL, FCR/Private Equity, Capital Riesgo) where global custodial capabilities and the BNP balance sheet matter — particularly for cross-border private-equity vehicles and complex hedge structures. On the FI side, targets independent boutiques and insurance-affiliated managers that value an internationally connected custodian over a domestic bank.</w:t>
      </w:r>
    </w:p>
    <w:p>
      <w:r>
        <w:rPr>
          <w:b/>
        </w:rPr>
        <w:t xml:space="preserve">Key data points. </w:t>
      </w:r>
      <w:r>
        <w:t>Combined AUM €62B. Alternativos €23.9B (FundsPeople IX 2026) — alone larger than every other depositary's alts book combined. FI €37B led by Sabadell AM (€15.9B, quasi-captive), Mutuactivos (€4.0B), Mapfre AM (€3.6B), Azvalor (€2.6B), Cobas AM (€2.1B). 17 gestora relationships, 462 alternativos entities (the most of any depositary). Average FI fee 5.7 bps.</w:t>
      </w:r>
    </w:p>
    <w:p>
      <w:r>
        <w:rPr>
          <w:b/>
        </w:rPr>
        <w:t xml:space="preserve">Overlap with Inversis: </w:t>
      </w:r>
      <w:r>
        <w:t>HIGH and DIRECT — the most strategically important competitor for Inversis. Both pitch themselves as the depositary of choice for independent / non-captive Spanish gestoras; both compete head-on for FCR/Capital Riesgo mandates. BNP wins on global reach and balance-sheet scale; Inversis wins on Spanish embeddedness, fee flexibility for smaller mandates, and the integrated platform (depositary + administrator + distribution). The €23.86B vs €3.75B alternativos gap shows BNP wins large mandates while Inversis wins many smaller ones.</w:t>
      </w:r>
    </w:p>
    <w:p>
      <w:pPr>
        <w:pStyle w:val="Heading2"/>
      </w:pPr>
      <w:r>
        <w:t>BBVA</w:t>
      </w:r>
    </w:p>
    <w:p>
      <w:r>
        <w:rPr>
          <w:b/>
        </w:rPr>
        <w:t xml:space="preserve">Ownership &amp; business model. </w:t>
      </w:r>
      <w:r>
        <w:t>Captive depositary embedded in BBVA SA (the parent bank). Serves only BBVA group entities — BBVA Asset Management, BBVA Pensiones, BBVA Allianz Seguros — and a small number of legacy external relationships. No commercial third-party depositary offering.</w:t>
      </w:r>
    </w:p>
    <w:p>
      <w:r>
        <w:rPr>
          <w:b/>
        </w:rPr>
        <w:t xml:space="preserve">Target &amp; strategy. </w:t>
      </w:r>
      <w:r>
        <w:t>Internal cost centre. The strategic objective is operational efficiency for the BBVA group, not external client growth. BBVA AM is Spain's largest pensions gestora, which makes BBVA the second-largest pension depositary even though it is invisible to the third-party market.</w:t>
      </w:r>
    </w:p>
    <w:p>
      <w:r>
        <w:rPr>
          <w:b/>
        </w:rPr>
        <w:t xml:space="preserve">Key data points. </w:t>
      </w:r>
      <w:r>
        <w:t>Reported combined AUM €61B in our overlay — but this reflects FI+SICAV+FIL est ONLY (no FundsPeople pensions overlay extracted). With BBVA AM's pension book (estimated €15–25B), true depositary AUM is likely €75–90B, which would place BBVA at #3 ahead of CACEIS. FI book €60B across 2 captive gestoras only. Average FI fee 7.3 bps reflects intra-group transfer pricing, not market rates.</w:t>
      </w:r>
    </w:p>
    <w:p>
      <w:r>
        <w:rPr>
          <w:b/>
        </w:rPr>
        <w:t xml:space="preserve">Overlap with Inversis: </w:t>
      </w:r>
      <w:r>
        <w:t>NONE. BBVA is not in the third-party depositary market; it is not a competitor for Inversis client mandates. Mentioned here only because its share of total Spanish depositary volume is material and because BBVA AM funds will not be addressable as Inversis prospects.</w:t>
      </w:r>
    </w:p>
    <w:p>
      <w:pPr>
        <w:pStyle w:val="Heading2"/>
      </w:pPr>
      <w:r>
        <w:t>Bankinter</w:t>
      </w:r>
    </w:p>
    <w:p>
      <w:r>
        <w:rPr>
          <w:b/>
        </w:rPr>
        <w:t xml:space="preserve">Ownership &amp; business model. </w:t>
      </w:r>
      <w:r>
        <w:t>Mid-tier Spanish commercial and private bank with an in-house depositary unit. Hybrid model: serves its own asset manager (Bankinter Gestión de Activos) and a selected group of independent gestoras with which Bankinter has commercial relationships via its private-banking and wealth-distribution networks.</w:t>
      </w:r>
    </w:p>
    <w:p>
      <w:r>
        <w:rPr>
          <w:b/>
        </w:rPr>
        <w:t xml:space="preserve">Target &amp; strategy. </w:t>
      </w:r>
      <w:r>
        <w:t>Distribution-led depositary. Bankinter's depositary footprint is a by-product of its private-banking business: gestoras whose products are distributed by Bankinter often also use Bankinter as depositary. Limited standalone third-party depositary push.</w:t>
      </w:r>
    </w:p>
    <w:p>
      <w:r>
        <w:rPr>
          <w:b/>
        </w:rPr>
        <w:t xml:space="preserve">Key data points. </w:t>
      </w:r>
      <w:r>
        <w:t>Combined AUM €28B (FI €25B, SICAV €2.3B). 13 gestora relationships. Average FI fee 9.3 bps — among the highest in the top 6, reflecting the smaller mandate size and bundled distribution economics.</w:t>
      </w:r>
    </w:p>
    <w:p>
      <w:r>
        <w:rPr>
          <w:b/>
        </w:rPr>
        <w:t xml:space="preserve">Overlap with Inversis: </w:t>
      </w:r>
      <w:r>
        <w:t>MEDIUM. Some shared third-party clients in the boutique segment, but Bankinter typically wins where its private-banking distribution channel matters; Inversis wins where the client values true neutrality (no distribution conflict).</w:t>
      </w:r>
    </w:p>
    <w:p>
      <w:pPr>
        <w:pStyle w:val="Heading2"/>
      </w:pPr>
      <w:r>
        <w:t>Banco Inversis (Banca March + Euroclear)</w:t>
      </w:r>
    </w:p>
    <w:p>
      <w:r>
        <w:rPr>
          <w:b/>
        </w:rPr>
        <w:t xml:space="preserve">Ownership &amp; business model. </w:t>
      </w:r>
      <w:r>
        <w:t>Specialist B2B bank owned 51% by Banca March and 49% by Euroclear (Banca March completed the sale to Euroclear in March 2025 for €172M — the only top-6 depositary with international Tier-1 securities-services backing). Operates an integrated stack: gestora administrator + bank depositary + fund-distribution platform. According to public commentary, the only Spanish firm offering this combined value proposition.</w:t>
      </w:r>
      <w:r>
        <w:rPr>
          <w:i/>
          <w:color w:val="606070"/>
          <w:sz w:val="18"/>
        </w:rPr>
        <w:t xml:space="preserve"> [Source: </w:t>
      </w:r>
      <w:hyperlink r:id="rId22">
        <w:r>
          <w:rPr>
            <w:rStyle w:val="Hyperlink"/>
            <w:color w:val="0563C1"/>
            <w:u w:val="single"/>
            <w:sz w:val="18"/>
          </w:rPr>
          <w:t>Banca March / Euroclear deal</w:t>
        </w:r>
      </w:hyperlink>
      <w:r>
        <w:rPr>
          <w:i/>
          <w:color w:val="606070"/>
          <w:sz w:val="18"/>
        </w:rPr>
        <w:t>]</w:t>
      </w:r>
      <w:r>
        <w:rPr>
          <w:i/>
          <w:color w:val="606070"/>
          <w:sz w:val="18"/>
        </w:rPr>
        <w:t xml:space="preserve"> · </w:t>
      </w:r>
      <w:hyperlink r:id="rId21">
        <w:r>
          <w:rPr>
            <w:rStyle w:val="Hyperlink"/>
            <w:color w:val="0563C1"/>
            <w:u w:val="single"/>
            <w:sz w:val="18"/>
          </w:rPr>
          <w:t>Inversis growth note</w:t>
        </w:r>
      </w:hyperlink>
      <w:r>
        <w:rPr>
          <w:i/>
          <w:color w:val="606070"/>
          <w:sz w:val="18"/>
        </w:rPr>
        <w:t>]</w:t>
      </w:r>
    </w:p>
    <w:p>
      <w:r>
        <w:rPr>
          <w:b/>
        </w:rPr>
        <w:t xml:space="preserve">Target &amp; strategy. </w:t>
      </w:r>
      <w:r>
        <w:t>Non-captive third-party depositary for mid-size independent gestoras (€100M–€2B AUM), Andorran-origin private-banking houses locked out of captive Spanish bank depositaries, and alternative-strategy boutiques (FCR / FIL / private equity). Strategic posture: 'the depositary for those who do not want to depositary with a competitor'. Recent expansion via the Luxembourg branch (March AM moved its Lux funds to Inversis Lux). Stated 2025 priorities: alternative markets, real-estate funds and digital assets.</w:t>
      </w:r>
    </w:p>
    <w:p>
      <w:r>
        <w:rPr>
          <w:b/>
        </w:rPr>
        <w:t>Key data points (FundsPeople IX 2026, user-confirmed):</w:t>
      </w:r>
    </w:p>
    <w:tbl>
      <w:tblPr>
        <w:tblStyle w:val="LightGrid-Accent1"/>
        <w:tblW w:type="auto" w:w="0"/>
        <w:tblLook w:firstColumn="1" w:firstRow="1" w:lastColumn="0" w:lastRow="0" w:noHBand="0" w:noVBand="1" w:val="04A0"/>
      </w:tblPr>
      <w:tblGrid>
        <w:gridCol w:w="4320"/>
        <w:gridCol w:w="4320"/>
      </w:tblGrid>
      <w:tr>
        <w:tc>
          <w:tcPr>
            <w:tcW w:type="dxa" w:w="4320"/>
            <w:shd w:fill="1F2A44"/>
          </w:tcPr>
          <w:p>
            <w:r>
              <w:rPr>
                <w:b/>
                <w:color w:val="FFFFFF"/>
              </w:rPr>
              <w:t>Category</w:t>
            </w:r>
          </w:p>
        </w:tc>
        <w:tc>
          <w:tcPr>
            <w:tcW w:type="dxa" w:w="4320"/>
            <w:shd w:fill="1F2A44"/>
          </w:tcPr>
          <w:p>
            <w:r>
              <w:rPr>
                <w:b/>
                <w:color w:val="FFFFFF"/>
              </w:rPr>
              <w:t>€M</w:t>
            </w:r>
          </w:p>
        </w:tc>
      </w:tr>
      <w:tr>
        <w:tc>
          <w:tcPr>
            <w:tcW w:type="dxa" w:w="4320"/>
          </w:tcPr>
          <w:p>
            <w:r>
              <w:t>Fondos de Inversión</w:t>
            </w:r>
          </w:p>
        </w:tc>
        <w:tc>
          <w:tcPr>
            <w:tcW w:type="dxa" w:w="4320"/>
          </w:tcPr>
          <w:p>
            <w:r>
              <w:t>10,659</w:t>
            </w:r>
          </w:p>
        </w:tc>
      </w:tr>
      <w:tr>
        <w:tc>
          <w:tcPr>
            <w:tcW w:type="dxa" w:w="4320"/>
          </w:tcPr>
          <w:p>
            <w:r>
              <w:t>SICAVs</w:t>
            </w:r>
          </w:p>
        </w:tc>
        <w:tc>
          <w:tcPr>
            <w:tcW w:type="dxa" w:w="4320"/>
          </w:tcPr>
          <w:p>
            <w:r>
              <w:t>2,931</w:t>
            </w:r>
          </w:p>
        </w:tc>
      </w:tr>
      <w:tr>
        <w:tc>
          <w:tcPr>
            <w:tcW w:type="dxa" w:w="4320"/>
          </w:tcPr>
          <w:p>
            <w:r>
              <w:t>Fondos de Pensiones</w:t>
            </w:r>
          </w:p>
        </w:tc>
        <w:tc>
          <w:tcPr>
            <w:tcW w:type="dxa" w:w="4320"/>
          </w:tcPr>
          <w:p>
            <w:r>
              <w:t>814</w:t>
            </w:r>
          </w:p>
        </w:tc>
      </w:tr>
      <w:tr>
        <w:tc>
          <w:tcPr>
            <w:tcW w:type="dxa" w:w="4320"/>
          </w:tcPr>
          <w:p>
            <w:r>
              <w:t>EPSV</w:t>
            </w:r>
          </w:p>
        </w:tc>
        <w:tc>
          <w:tcPr>
            <w:tcW w:type="dxa" w:w="4320"/>
          </w:tcPr>
          <w:p>
            <w:r>
              <w:t>50</w:t>
            </w:r>
          </w:p>
        </w:tc>
      </w:tr>
      <w:tr>
        <w:tc>
          <w:tcPr>
            <w:tcW w:type="dxa" w:w="4320"/>
          </w:tcPr>
          <w:p>
            <w:r>
              <w:t>Alternativos (FIL + Capital Riesgo)</w:t>
            </w:r>
          </w:p>
        </w:tc>
        <w:tc>
          <w:tcPr>
            <w:tcW w:type="dxa" w:w="4320"/>
          </w:tcPr>
          <w:p>
            <w:r>
              <w:t>3,746</w:t>
            </w:r>
          </w:p>
        </w:tc>
      </w:tr>
      <w:tr>
        <w:tc>
          <w:tcPr>
            <w:tcW w:type="dxa" w:w="4320"/>
          </w:tcPr>
          <w:p>
            <w:r>
              <w:rPr>
                <w:b/>
              </w:rPr>
              <w:t>Total</w:t>
            </w:r>
          </w:p>
        </w:tc>
        <w:tc>
          <w:tcPr>
            <w:tcW w:type="dxa" w:w="4320"/>
          </w:tcPr>
          <w:p>
            <w:r>
              <w:rPr>
                <w:b/>
              </w:rPr>
              <w:t>18,200</w:t>
            </w:r>
          </w:p>
        </w:tc>
      </w:tr>
    </w:tbl>
    <w:p>
      <w:r>
        <w:t>Combined AUM €18.2B places Inversis at #6 by total volume (3.2% of consolidated top-6). The headline understates the strategic position. Two more important rankings: (i) #2 by gestoras served — 29 relationships, behind only CACEIS; (ii) #2 in alternativos by entity count (272 FIL/FCR/SCR/SICC/FICC entities). Moderate AUM × very high client count = Inversis's strategic identity.</w:t>
      </w:r>
    </w:p>
    <w:p>
      <w:r>
        <w:t>Client base reflects three segments: (1) group-related flows — March AM (€4.8B) and Inversis Gestión (€0.9B), ~40% of FI book; (2) Andorran-origin private-banking gestoras locked out of captive Spanish bank depositaries — Andbank Wealth Management (€3.1B), Tressis Gestión (€0.9B, Mora Banc) and similar; (3) independent Spanish boutiques — EDM Gestión (€1.4B) and a long tail of smaller specialist managers. Average fee 7.5 bps sits well above Cecabank and CACEIS, reflecting smaller mandate sizes and absence of captive pricing pressure.</w:t>
      </w:r>
    </w:p>
    <w:p>
      <w:r>
        <w:rPr>
          <w:b/>
        </w:rPr>
        <w:t>Specificities — what makes Inversis different from every other top-6 depositary:</w:t>
      </w:r>
    </w:p>
    <w:p>
      <w:pPr>
        <w:pStyle w:val="ListBullet"/>
      </w:pPr>
      <w:r>
        <w:t>Only top-6 depositary that is neither a captive bank nor a global custodian.</w:t>
      </w:r>
    </w:p>
    <w:p>
      <w:pPr>
        <w:pStyle w:val="ListBullet"/>
      </w:pPr>
      <w:r>
        <w:t>Only Spanish player with an integrated B2B stack (administrator + depositary + distribution platform).</w:t>
      </w:r>
    </w:p>
    <w:p>
      <w:pPr>
        <w:pStyle w:val="ListBullet"/>
      </w:pPr>
      <w:r>
        <w:t>#2 in client count despite #6 in AUM — proof of strategic positioning on smaller, non-captive mandates.</w:t>
      </w:r>
    </w:p>
    <w:p>
      <w:pPr>
        <w:pStyle w:val="ListBullet"/>
      </w:pPr>
      <w:r>
        <w:t>Disproportionately strong in alternativos by entity count (#2) but underweight in alternativos by AUM (FundsPeople €3.75B vs BNP €23.86B) — the natural growth lever.</w:t>
      </w:r>
    </w:p>
    <w:p>
      <w:pPr>
        <w:pStyle w:val="ListBullet"/>
      </w:pPr>
      <w:r>
        <w:t>Tier-1 international parent (Euroclear, since March 2025) without competing distribution interests — rare combination in the depositary universe.</w:t>
      </w:r>
    </w:p>
    <w:p>
      <w:pPr>
        <w:pStyle w:val="ListBullet"/>
      </w:pPr>
      <w:r>
        <w:t>Active in Spain and Luxembourg, with March AM having moved its Lux funds to the Inversis Lux branch.</w:t>
      </w:r>
    </w:p>
    <w:p>
      <w:pPr>
        <w:pStyle w:val="Heading1"/>
      </w:pPr>
      <w:r>
        <w:t>Strategic positioning summary</w:t>
      </w:r>
    </w:p>
    <w:p>
      <w:r>
        <w:t>The five active third-party depositaries occupy structurally different positions; only two of them compete directly with Inversis.</w:t>
      </w:r>
    </w:p>
    <w:p>
      <w:pPr>
        <w:pStyle w:val="ListBullet"/>
      </w:pPr>
      <w:r>
        <w:rPr>
          <w:b/>
        </w:rPr>
        <w:t>Cecabank</w:t>
      </w:r>
      <w:r>
        <w:t xml:space="preserve"> — closed savings-bank consortium plus dominant pension custody (~45%). Lowest fees, no realistic third-party expansion, no alternativos. Not a meaningful competitor.</w:t>
      </w:r>
    </w:p>
    <w:p>
      <w:pPr>
        <w:pStyle w:val="ListBullet"/>
      </w:pPr>
      <w:r>
        <w:rPr>
          <w:b/>
        </w:rPr>
        <w:t>CACEIS</w:t>
      </w:r>
      <w:r>
        <w:t xml:space="preserve"> — pan-European institutional custodian, now 100% Crédit Agricole. Largest gestora client count, second-largest SICAV book. Direct competitor for mid-tier independent mandates.</w:t>
      </w:r>
    </w:p>
    <w:p>
      <w:pPr>
        <w:pStyle w:val="ListBullet"/>
      </w:pPr>
      <w:r>
        <w:rPr>
          <w:b/>
        </w:rPr>
        <w:t>BBVA</w:t>
      </w:r>
      <w:r>
        <w:t xml:space="preserve"> — pure captive (BBVA AM + BBVA Pensiones). Not a competitor for third-party mandates.</w:t>
      </w:r>
    </w:p>
    <w:p>
      <w:pPr>
        <w:pStyle w:val="ListBullet"/>
      </w:pPr>
      <w:r>
        <w:rPr>
          <w:b/>
        </w:rPr>
        <w:t>BNP Paribas Securities Services</w:t>
      </w:r>
      <w:r>
        <w:t xml:space="preserve"> — alternativos powerhouse and depositary of choice for independent asset managers wanting global reach. Direct head-to-head competitor for FCR / private equity and large independent FI mandates.</w:t>
      </w:r>
    </w:p>
    <w:p>
      <w:pPr>
        <w:pStyle w:val="ListBullet"/>
      </w:pPr>
      <w:r>
        <w:rPr>
          <w:b/>
        </w:rPr>
        <w:t>Bankinter</w:t>
      </w:r>
      <w:r>
        <w:t xml:space="preserve"> — distribution-led mid-tier depositary; medium overlap with Inversis on selected boutique mandates.</w:t>
      </w:r>
    </w:p>
    <w:p>
      <w:pPr>
        <w:pStyle w:val="ListBullet"/>
      </w:pPr>
      <w:r>
        <w:rPr>
          <w:b/>
        </w:rPr>
        <w:t>Inversis</w:t>
      </w:r>
      <w:r>
        <w:t xml:space="preserve"> — true non-captive specialist. Highest client count among non-captive players, integrated platform, Tier-1 international parent without distribution conflicts.</w:t>
      </w:r>
    </w:p>
    <w:p>
      <w:r>
        <w:t>The €44B addressable non-captive market identified by Inversis's own opportunity analysis sits squarely in the segment served today by CACEIS or BNP Paribas. Inversis's regulatory independence and breadth of alternativos coverage give it a structural advantage in non-captive boutique relationships. The 2025 Euroclear partnership adds international platform backing without conflicting distribution interests — a credible foundation for share gain in the independent and alternativos segments.</w:t>
      </w:r>
    </w:p>
    <w:p>
      <w:pPr>
        <w:pStyle w:val="Heading1"/>
      </w:pPr>
      <w:r>
        <w:t>Data limitations — what we are missing</w:t>
      </w:r>
    </w:p>
    <w:p>
      <w:r>
        <w:t>This analysis combines CNMV public feeds (authoritative for FI and SICAV) with the FundsPeople IX 2026 ranking (the only public source aggregating depositary volumes across pensions, EPSV and alternativos). The full FundsPeople ranking is paywalled. Specific gaps:</w:t>
      </w:r>
    </w:p>
    <w:p>
      <w:pPr>
        <w:pStyle w:val="ListBullet"/>
      </w:pPr>
      <w:r>
        <w:rPr>
          <w:b/>
        </w:rPr>
        <w:t xml:space="preserve">Pensiones / EPSV by depositary. </w:t>
      </w:r>
      <w:r>
        <w:t>Only Inversis (user-provided) and Cecabank (estimated from its own 45%-of-pensions announcement) have figures. CACEIS, BBVA and BNP pension volumes are not extracted; their true combined AUM is therefore understated.</w:t>
      </w:r>
    </w:p>
    <w:p>
      <w:pPr>
        <w:pStyle w:val="ListBullet"/>
      </w:pPr>
      <w:r>
        <w:rPr>
          <w:b/>
        </w:rPr>
        <w:t xml:space="preserve">Alternativos AUM by depositary. </w:t>
      </w:r>
      <w:r>
        <w:t>Only Inversis (€3.75B user-provided) and BNP (€23.86B user-provided) come from FundsPeople. Other depositaries fall back to a proportional FIL-only estimate that omits FCR/Capital Riesgo and is materially low.</w:t>
      </w:r>
    </w:p>
    <w:p>
      <w:pPr>
        <w:pStyle w:val="ListBullet"/>
      </w:pPr>
      <w:r>
        <w:rPr>
          <w:b/>
        </w:rPr>
        <w:t xml:space="preserve">SICAV cycle. </w:t>
      </w:r>
      <w:r>
        <w:t>CNMV SOCREGISTRO/SOCTRIM XML feed in our data is dated 2025-Q2 (June). Q3/Q4 SICAV XML files are session-gated on the CNMV portal and could not be downloaded without manual interaction. SICAV is ~3% of combined market — refresh would not change rankings.</w:t>
      </w:r>
    </w:p>
    <w:p>
      <w:pPr>
        <w:pStyle w:val="ListBullet"/>
      </w:pPr>
      <w:r>
        <w:rPr>
          <w:b/>
        </w:rPr>
        <w:t xml:space="preserve">Total market reconciliation. </w:t>
      </w:r>
      <w:r>
        <w:t>FundsPeople IX 2026 reports €694B total at end-2025; our combined-overlay top-6 view sums to €567B. The €126B gap is the long tail of smaller depositaries plus the un-overlayed pensions volumes for CACEIS, BBVA and BNP.</w:t>
      </w:r>
    </w:p>
    <w:p>
      <w:pPr>
        <w:pStyle w:val="Heading1"/>
      </w:pPr>
      <w:r>
        <w:t>Reference documentation (downloaded copies)</w:t>
      </w:r>
    </w:p>
    <w:p>
      <w:r>
        <w:t>PDF copies of the publicly-available source documents have been saved to the 'Reference docs/' folder alongside this report. The FundsPeople IX 2026 ranking is registration-required and could not be downloaded; access via the link below requires a free FundsPeople account.</w:t>
      </w:r>
    </w:p>
    <w:p>
      <w:pPr>
        <w:pStyle w:val="ListBullet"/>
      </w:pPr>
      <w:r>
        <w:rPr>
          <w:b/>
        </w:rPr>
        <w:t>CNMV Estadísticas IIC — Q4 2025 Resumen.</w:t>
      </w:r>
      <w:r>
        <w:t xml:space="preserve"> Local: Reference docs/CNMV_Estadisticas_IIC_2025_Q4_Resumen.pdf · </w:t>
      </w:r>
      <w:hyperlink r:id="rId10">
        <w:r>
          <w:rPr>
            <w:rStyle w:val="Hyperlink"/>
            <w:color w:val="0563C1"/>
            <w:u w:val="single"/>
            <w:sz w:val="22"/>
          </w:rPr>
          <w:t>Online (PDF)</w:t>
        </w:r>
      </w:hyperlink>
      <w:r>
        <w:t xml:space="preserve"> · </w:t>
      </w:r>
      <w:hyperlink r:id="rId9">
        <w:r>
          <w:rPr>
            <w:rStyle w:val="Hyperlink"/>
            <w:color w:val="0563C1"/>
            <w:u w:val="single"/>
            <w:sz w:val="22"/>
          </w:rPr>
          <w:t>CNMV portal</w:t>
        </w:r>
      </w:hyperlink>
    </w:p>
    <w:p>
      <w:pPr>
        <w:pStyle w:val="ListBullet"/>
      </w:pPr>
      <w:r>
        <w:rPr>
          <w:b/>
        </w:rPr>
        <w:t>INVERCO Fondos de Pensiones 4º trimestre 2025.</w:t>
      </w:r>
      <w:r>
        <w:t xml:space="preserve"> Local: Reference docs/INVERCO_Pensiones_2025Q4_NotaPrensa.pdf · </w:t>
      </w:r>
      <w:hyperlink r:id="rId14">
        <w:r>
          <w:rPr>
            <w:rStyle w:val="Hyperlink"/>
            <w:color w:val="0563C1"/>
            <w:u w:val="single"/>
            <w:sz w:val="22"/>
          </w:rPr>
          <w:t>Online (PDF)</w:t>
        </w:r>
      </w:hyperlink>
    </w:p>
    <w:p>
      <w:pPr>
        <w:pStyle w:val="ListBullet"/>
      </w:pPr>
      <w:r>
        <w:rPr>
          <w:b/>
        </w:rPr>
        <w:t>INVERCO Informe Anual de IIC y Fondos de Pensiones 2024.</w:t>
      </w:r>
      <w:r>
        <w:t xml:space="preserve"> Local: Reference docs/INVERCO_Informe_Anual_IIC_y_Pensiones_2024.pdf · </w:t>
      </w:r>
      <w:hyperlink r:id="rId26">
        <w:r>
          <w:rPr>
            <w:rStyle w:val="Hyperlink"/>
            <w:color w:val="0563C1"/>
            <w:u w:val="single"/>
            <w:sz w:val="22"/>
          </w:rPr>
          <w:t>Online (PDF)</w:t>
        </w:r>
      </w:hyperlink>
    </w:p>
    <w:p>
      <w:pPr>
        <w:pStyle w:val="ListBullet"/>
      </w:pPr>
      <w:r>
        <w:rPr>
          <w:b/>
        </w:rPr>
        <w:t>Cecabank — Resultados 2025 nota de prensa.</w:t>
      </w:r>
      <w:r>
        <w:t xml:space="preserve"> Local: Reference docs/Cecabank_Resultados_2025_NotaPrensa.pdf · </w:t>
      </w:r>
      <w:hyperlink r:id="rId18">
        <w:r>
          <w:rPr>
            <w:rStyle w:val="Hyperlink"/>
            <w:color w:val="0563C1"/>
            <w:u w:val="single"/>
            <w:sz w:val="22"/>
          </w:rPr>
          <w:t>Online (PDF)</w:t>
        </w:r>
      </w:hyperlink>
    </w:p>
    <w:p>
      <w:pPr>
        <w:pStyle w:val="ListBullet"/>
      </w:pPr>
      <w:r>
        <w:rPr>
          <w:b/>
        </w:rPr>
        <w:t>Inversis depositaría +36% (2024) — corporate news.</w:t>
      </w:r>
      <w:r>
        <w:t xml:space="preserve"> Local: Reference docs/Inversis_Depositaria_36pct_growth_NotaPrensa.html · </w:t>
      </w:r>
      <w:hyperlink r:id="rId21">
        <w:r>
          <w:rPr>
            <w:rStyle w:val="Hyperlink"/>
            <w:color w:val="0563C1"/>
            <w:u w:val="single"/>
            <w:sz w:val="22"/>
          </w:rPr>
          <w:t>Online</w:t>
        </w:r>
      </w:hyperlink>
    </w:p>
    <w:p>
      <w:pPr>
        <w:pStyle w:val="ListBullet"/>
      </w:pPr>
      <w:r>
        <w:rPr>
          <w:b/>
        </w:rPr>
        <w:t>FundsPeople IX Ranking de Depositaría 2026 — registration required.</w:t>
      </w:r>
      <w:r>
        <w:t xml:space="preserve"> </w:t>
      </w:r>
      <w:hyperlink r:id="rId15">
        <w:r>
          <w:rPr>
            <w:rStyle w:val="Hyperlink"/>
            <w:color w:val="0563C1"/>
            <w:u w:val="single"/>
            <w:sz w:val="22"/>
          </w:rPr>
          <w:t>Online (paywalled)</w:t>
        </w:r>
      </w:hyperlink>
    </w:p>
    <w:p>
      <w:pPr>
        <w:pStyle w:val="ListBullet"/>
      </w:pPr>
      <w:r>
        <w:rPr>
          <w:b/>
        </w:rPr>
        <w:t>Banca March / Euroclear — 49% sale of Inversis (March 2025).</w:t>
      </w:r>
      <w:r>
        <w:t xml:space="preserve"> </w:t>
      </w:r>
      <w:hyperlink r:id="rId22">
        <w:r>
          <w:rPr>
            <w:rStyle w:val="Hyperlink"/>
            <w:color w:val="0563C1"/>
            <w:u w:val="single"/>
            <w:sz w:val="22"/>
          </w:rPr>
          <w:t>Online</w:t>
        </w:r>
      </w:hyperlink>
    </w:p>
    <w:p>
      <w:pPr>
        <w:pStyle w:val="ListBullet"/>
      </w:pPr>
      <w:r>
        <w:rPr>
          <w:b/>
        </w:rPr>
        <w:t>Santander–Crédit Agricole — CACEIS divestiture (Dec 2024 / 2025).</w:t>
      </w:r>
      <w:r>
        <w:t xml:space="preserve"> </w:t>
      </w:r>
      <w:hyperlink r:id="rId20">
        <w:r>
          <w:rPr>
            <w:rStyle w:val="Hyperlink"/>
            <w:color w:val="0563C1"/>
            <w:u w:val="single"/>
            <w:sz w:val="22"/>
          </w:rPr>
          <w:t>Online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nmv.es/portal/publicaciones/estadisticas-iic?lang=es" TargetMode="External"/><Relationship Id="rId10" Type="http://schemas.openxmlformats.org/officeDocument/2006/relationships/hyperlink" Target="https://www.cnmv.es/DocPortal/Estadisticas/IIC/Estadisticas_IIC_2025_4T.pdf" TargetMode="External"/><Relationship Id="rId11" Type="http://schemas.openxmlformats.org/officeDocument/2006/relationships/hyperlink" Target="https://www.cnmv.es/portal/Consultas/Sociedades.aspx" TargetMode="External"/><Relationship Id="rId12" Type="http://schemas.openxmlformats.org/officeDocument/2006/relationships/hyperlink" Target="https://www.cnmv.es/portal/consultas/iic/depositaria" TargetMode="External"/><Relationship Id="rId13" Type="http://schemas.openxmlformats.org/officeDocument/2006/relationships/hyperlink" Target="https://www.inverco.es/notas-de-prensa/fondos-de-pensiones-4o-trimestre-2025/" TargetMode="External"/><Relationship Id="rId14" Type="http://schemas.openxmlformats.org/officeDocument/2006/relationships/hyperlink" Target="https://www.inverco.es/wp-content/uploads/2026/02/2512_FP-Diciembre-2025.pdf" TargetMode="External"/><Relationship Id="rId15" Type="http://schemas.openxmlformats.org/officeDocument/2006/relationships/hyperlink" Target="https://fundspeople.com/es/ranking-de-depositaria-2026/" TargetMode="External"/><Relationship Id="rId16" Type="http://schemas.openxmlformats.org/officeDocument/2006/relationships/hyperlink" Target="https://fundspeople.com/es/la-hoja-de-ruta-de-las-entidades-depositarias-para-2026/" TargetMode="External"/><Relationship Id="rId17" Type="http://schemas.openxmlformats.org/officeDocument/2006/relationships/hyperlink" Target="https://www.cecabank.es/cecabank-consolida-su-crecimiento-en-2025-y-refuerza-su-posicion-como-proveedor-b2b-en-europa/" TargetMode="External"/><Relationship Id="rId18" Type="http://schemas.openxmlformats.org/officeDocument/2006/relationships/hyperlink" Target="https://www.cecabank.es/wp-content/uploads/2026/04/20260410_Cecabank-consolida-su-crecimiento-en-2025-y-refuerza-su-posicion-como-proveedor-B2B.pdf" TargetMode="External"/><Relationship Id="rId19" Type="http://schemas.openxmlformats.org/officeDocument/2006/relationships/hyperlink" Target="https://www.caixabank.com/es/actualidad/noticias/cecabank" TargetMode="External"/><Relationship Id="rId20" Type="http://schemas.openxmlformats.org/officeDocument/2006/relationships/hyperlink" Target="https://www.santander.com/en/press-room/press-releases/credit-agricole-sa-and-santander-sign-a-memorandum-of-understanding-to-join-forces-and-create-a-major-global-player-in-custody-and-asset-servicing" TargetMode="External"/><Relationship Id="rId21" Type="http://schemas.openxmlformats.org/officeDocument/2006/relationships/hyperlink" Target="https://inversis.es/news/inversis-incrementa-negocio-depositar%C3%ADa-supera-cifra" TargetMode="External"/><Relationship Id="rId22" Type="http://schemas.openxmlformats.org/officeDocument/2006/relationships/hyperlink" Target="https://www.bancamarch.es/es/actualidad/noticias/banca-march-completa-la-venta-de-una-participacion-del-49-en-inversis-a-euroclear-para-impulsar-su-crecimiento-e-internacionalizacion.html" TargetMode="External"/><Relationship Id="rId23" Type="http://schemas.openxmlformats.org/officeDocument/2006/relationships/hyperlink" Target="https://www.caceis.com/" TargetMode="External"/><Relationship Id="rId24" Type="http://schemas.openxmlformats.org/officeDocument/2006/relationships/hyperlink" Target="https://fundspeople.com/es/empresa/bnp-paribas-securities-services/" TargetMode="External"/><Relationship Id="rId25" Type="http://schemas.openxmlformats.org/officeDocument/2006/relationships/hyperlink" Target="https://www.cnmv.es/portal/consultas/iic/depositaria?nif=W0011117I" TargetMode="External"/><Relationship Id="rId26" Type="http://schemas.openxmlformats.org/officeDocument/2006/relationships/hyperlink" Target="https://www.inverco.es/wp-content/uploads/2025/09/INFORME-ANUAL-2025-d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