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Machine Learning para Detección de Rostros</w:t>
      </w:r>
    </w:p>
    <w:p>
      <w:pPr>
        <w:pStyle w:val="Heading1"/>
      </w:pPr>
      <w:r>
        <w:t>1. Preprocesamiento</w:t>
      </w:r>
    </w:p>
    <w:p>
      <w:r>
        <w:t xml:space="preserve">Se realizó la carga y normalización de imágenes de rostros y fondos. Las imágenes se convirtieron a escala de grises y se redimensionaron a un tamaño uniforme. Se extrajeron parches negativos de imágenes de fondo y se dividieron los datos en conjuntos de entrenamiento y validación. </w:t>
      </w:r>
    </w:p>
    <w:p>
      <w:r>
        <w:t>En la etapa de preprocesamiento, se realizó la carga y normalización de imágenes de rostros y fondos. Para los fondos, en la celda 2 se utilizaron 9 imágenes de la librería skimage.data y 31 imágenes adicionales de la carpeta Background provista, sumando un total de 40 imágenes de fondo. Cada imagen fue convertida a escala de grises y redimensionada a 100x100 píxeles para su procesamiento uniforme. A partir de estas imágenes, se extrajeron parches negativos utilizando la función extract_patches, generando 300 parches por imagen para 5 escalas diferentes ([0.1, 0.25, 0.5, 0.75, 1]), lo que resultó en 60.000 parches de fondo. Este procedimiento permitió construir un conjunto balanceado y representativo de ejemplos negativos para el entrenamiento de los modelos.</w:t>
      </w:r>
    </w:p>
    <w:p>
      <w:pPr>
        <w:pStyle w:val="Heading1"/>
      </w:pPr>
      <w:r>
        <w:t>2. Feature Engineering</w:t>
      </w:r>
    </w:p>
    <w:p>
      <w:r>
        <w:t>Se extrajeron características HOG (Histogram of Oriented Gradients) de todas las imágenes para capturar información relevante de bordes y texturas. Posteriormente, se aplicó PCA para reducir la dimensionalidad, seleccionando 450 componentes principales que explican más del 95% de la varianza.</w:t>
      </w:r>
    </w:p>
    <w:p>
      <w:pPr>
        <w:pStyle w:val="Heading1"/>
      </w:pPr>
      <w:r>
        <w:t>3. Clasificadores</w:t>
      </w:r>
    </w:p>
    <w:p>
      <w:r>
        <w:t>Se entrenaron y evaluaron los siguientes modelos:</w:t>
        <w:br/>
        <w:t>- Árboles de Decisión (profundidades: 2, 5, 10)</w:t>
        <w:br/>
        <w:t>- Random Forest</w:t>
        <w:br/>
        <w:t>- XGBoost</w:t>
        <w:br/>
        <w:t>- LightGBM</w:t>
        <w:br/>
        <w:t>- Regresión Logística</w:t>
        <w:br/>
        <w:t>- Red Neuronal (PyTorch)</w:t>
        <w:br/>
        <w:t>Para cada modelo se exploraron hiperparámetros relevantes mediante GridSearchCV.</w:t>
      </w:r>
    </w:p>
    <w:p>
      <w:pPr>
        <w:pStyle w:val="Heading1"/>
      </w:pPr>
      <w:r>
        <w:t>4. Evaluación y Selección de Modelos</w:t>
      </w:r>
    </w:p>
    <w:p>
      <w:r>
        <w:t>Se utilizó validación cruzada y búsqueda en malla (GridSearchCV) para optimizar hiperparámetros. Las métricas evaluadas incluyeron accuracy, F1-score, TPR, FPR, curvas ROC y AUC. A continuación se presentan los resultados comparativos.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Modelo</w:t>
            </w:r>
          </w:p>
        </w:tc>
        <w:tc>
          <w:tcPr>
            <w:tcW w:type="dxa" w:w="2160"/>
          </w:tcPr>
          <w:p>
            <w:r>
              <w:t>Accuracy</w:t>
            </w:r>
          </w:p>
        </w:tc>
        <w:tc>
          <w:tcPr>
            <w:tcW w:type="dxa" w:w="2160"/>
          </w:tcPr>
          <w:p>
            <w:r>
              <w:t>F1</w:t>
            </w:r>
          </w:p>
        </w:tc>
        <w:tc>
          <w:tcPr>
            <w:tcW w:type="dxa" w:w="2160"/>
          </w:tcPr>
          <w:p>
            <w:r>
              <w:t>AUC</w:t>
            </w:r>
          </w:p>
        </w:tc>
      </w:tr>
      <w:tr>
        <w:tc>
          <w:tcPr>
            <w:tcW w:type="dxa" w:w="2160"/>
          </w:tcPr>
          <w:p>
            <w:r>
              <w:t>Árbol Decisión (prof=5)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</w:tr>
      <w:tr>
        <w:tc>
          <w:tcPr>
            <w:tcW w:type="dxa" w:w="2160"/>
          </w:tcPr>
          <w:p>
            <w:r>
              <w:t>Random Forest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</w:tr>
      <w:tr>
        <w:tc>
          <w:tcPr>
            <w:tcW w:type="dxa" w:w="2160"/>
          </w:tcPr>
          <w:p>
            <w:r>
              <w:t>XGBoost</w:t>
            </w:r>
          </w:p>
        </w:tc>
        <w:tc>
          <w:tcPr>
            <w:tcW w:type="dxa" w:w="2160"/>
          </w:tcPr>
          <w:p>
            <w:r>
              <w:t>0.998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  <w:tc>
          <w:tcPr>
            <w:tcW w:type="dxa" w:w="2160"/>
          </w:tcPr>
          <w:p>
            <w:r>
              <w:t>0.998</w:t>
            </w:r>
          </w:p>
        </w:tc>
      </w:tr>
      <w:tr>
        <w:tc>
          <w:tcPr>
            <w:tcW w:type="dxa" w:w="2160"/>
          </w:tcPr>
          <w:p>
            <w:r>
              <w:t>Red Neuronal</w:t>
            </w:r>
          </w:p>
        </w:tc>
        <w:tc>
          <w:tcPr>
            <w:tcW w:type="dxa" w:w="2160"/>
          </w:tcPr>
          <w:p>
            <w:r>
              <w:t>0.998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  <w:tc>
          <w:tcPr>
            <w:tcW w:type="dxa" w:w="2160"/>
          </w:tcPr>
          <w:p>
            <w:r>
              <w:t>0.998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1148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acion_accurac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Desempeño en Kaggle</w:t>
      </w:r>
    </w:p>
    <w:p>
      <w:r>
        <w:t>El mejor modelo (XGBoost) fue sometido a la competencia de Kaggle, obteniendo un accuracy de 0.998 en el set de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