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rPr>
          <w:sz w:val="2"/>
          <w:szCs w:val="2"/>
        </w:rPr>
        <w:t xml:space="preserve"/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Universidad ORT Uruguay · Maestría en Inteligencia Artificial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2355B"/>
          <w:sz w:val="48"/>
          <w:szCs w:val="48"/>
        </w:rPr>
        <w:t xml:space="preserve">Estado del arte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A5A5A"/>
          <w:sz w:val="30"/>
          <w:szCs w:val="30"/>
        </w:rPr>
        <w:t xml:space="preserve">Avance para la tutoría</w:t>
      </w:r>
    </w:p>
    <w:p>
      <w:pPr>
        <w:pBdr>
          <w:top w:val="single" w:color="12355B" w:sz="6" w:space="8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Pronóstico calibrado de entrega en desarrollo de software asistido por agentes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Joaquín Guerra · Germán Pazos · Ramiro Sanes</w:t>
      </w:r>
    </w:p>
    <w:p>
      <w:pPr>
        <w:spacing w:after="600" w:before="0" w:line="276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Versión de trabajo · [FECHA]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Cómo usar este esqueleto (borrar esta caja antes de enviar)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Cada sección trae los puntos que tienen que aparecer y las citas verificadas que los respaldan. La prosa la escriben ustedes: el documento tiene que sonar a ustedes, no a un resumen generado.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Los recuadros amarillos [ESCRIBIR ACÁ] son los que hay que reemplazar. Las viñetas grises son material de apoyo: se borran una vez que el párrafo está escrito.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Extensión objetivo: 4 a 6 páginas más el anexo. Si una sección se va de largo, va al documento interno, no acá.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Regla del proyecto: ninguna cita entra sin DOI o URL efectivamente abierta. Lo no verificado va en la sección de pendientes, no en el cuerpo.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1. Qué hicimos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Qué va en esta sección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Un párrafo de método: cómo se buscó, dónde y con qué criterio se priorizó. Es lo que le muestra a la tutora que hubo un procedimiento y no una búsqueda suelta.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Un párrafo corto de resultado del relevamiento en números.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Una frase de honestidad sobre lo que no se pudo conseguir. No la saquen: es lo que da credibilidad al resto.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1.1 Procedimiento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Punto de partida: </w:t>
      </w:r>
      <w:r>
        <w:rPr>
          <w:rFonts w:ascii="Calibri" w:cs="Calibri" w:eastAsia="Calibri" w:hAnsi="Calibri"/>
          <w:sz w:val="21"/>
          <w:szCs w:val="21"/>
        </w:rPr>
        <w:t xml:space="preserve">las 17 referencias del anteproyecto entregado, con expansión hacia atrás (citas) y hacia adelante (citantes).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Cinco áreas de búsqueda: </w:t>
      </w:r>
      <w:r>
        <w:rPr>
          <w:rFonts w:ascii="Calibri" w:cs="Calibri" w:eastAsia="Calibri" w:hAnsi="Calibri"/>
          <w:sz w:val="21"/>
          <w:szCs w:val="21"/>
        </w:rPr>
        <w:t xml:space="preserve">(a) pronóstico probabilístico de software, (b) evaluación y calibración de pronósticos probabilísticos, (c) clases de referencia y taxonomías de trabajo, (d) estimación bajo no estacionariedad, (e) medición empírica de desarrollo con agentes de IA.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Barrido adicional (setiembre 2026): </w:t>
      </w:r>
      <w:r>
        <w:rPr>
          <w:rFonts w:ascii="Calibri" w:cs="Calibri" w:eastAsia="Calibri" w:hAnsi="Calibri"/>
          <w:sz w:val="21"/>
          <w:szCs w:val="21"/>
        </w:rPr>
        <w:t xml:space="preserve">programas de FSE 2026 Industry e ICSE 2026 (workshop AGENT), y la línea de preprints sobre agentes de 2026.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 de triage, tres ejes: </w:t>
      </w:r>
      <w:r>
        <w:rPr>
          <w:rFonts w:ascii="Calibri" w:cs="Calibri" w:eastAsia="Calibri" w:hAnsi="Calibri"/>
          <w:sz w:val="21"/>
          <w:szCs w:val="21"/>
        </w:rPr>
        <w:t xml:space="preserve">cercanía al objeto (agentes / asistido / humano / general), función en la tesis (método, baseline, antecedente, contexto) y solidez (revisado por pares vs. preprint; datos reales vs. simulados; n).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un párrafo de 4–6 líneas que cuente esto en prosa, no como lista. Mencionar que el criterio de prioridad fue “¿esto cambia una decisión de diseño?”, no “¿es un paper importante?”]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1.2 El relevamiento en números</w:t>
      </w:r>
    </w:p>
    <w:tbl>
      <w:tblPr>
        <w:tblW w:type="dxa" w:w="9360"/>
        <w:tblBorders>
          <w:top w:val="single" w:color="AAB4C0" w:sz="2"/>
          <w:left w:val="single" w:color="AAB4C0" w:sz="2"/>
          <w:bottom w:val="single" w:color="AAB4C0" w:sz="2"/>
          <w:right w:val="single" w:color="AAB4C0" w:sz="2"/>
          <w:insideH w:val="single" w:color="D5DBE2" w:sz="2"/>
          <w:insideV w:val="single" w:color="D5DBE2" w:sz="2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1235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shd w:fill="1235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Cuántos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Candidatos relevados con referencia verificada</w:t>
            </w:r>
          </w:p>
        </w:tc>
        <w:tc>
          <w:tcPr>
            <w:tcW w:type="dxa" w:w="376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~100</w:t>
            </w:r>
          </w:p>
        </w:tc>
      </w:tr>
      <w:tr>
        <w:tc>
          <w:tcPr>
            <w:tcW w:type="dxa" w:w="56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Leídos a texto completo y resumidos</w:t>
            </w:r>
          </w:p>
        </w:tc>
        <w:tc>
          <w:tcPr>
            <w:tcW w:type="dxa" w:w="376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Verificados pero no conseguidos (sin resumen, y declarados como tales)</w:t>
            </w:r>
          </w:p>
        </w:tc>
        <w:tc>
          <w:tcPr>
            <w:tcW w:type="dxa" w:w="376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 — Jørgensen (2019); Batselier &amp; Vanhoucke (2016); Lokan &amp; Mendes (2017)</w:t>
            </w:r>
          </w:p>
        </w:tc>
      </w:tr>
      <w:tr>
        <w:tc>
          <w:tcPr>
            <w:tcW w:type="dxa" w:w="56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Errores de cita detectados en el anteproyecto y corregidos</w:t>
            </w:r>
          </w:p>
        </w:tc>
        <w:tc>
          <w:tcPr>
            <w:tcW w:type="dxa" w:w="376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 (autores faltantes, año equivocado, atribución de autoría)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Regla que nos impusimos: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 se escribió ninguna ficha a partir de un abstract. Si no se leyó el texto completo, el trabajo figura como pendiente y no se lo cita como evidencia.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opcional: una línea sobre cuánto tiempo llevó y cómo se repartió entre los tres]</w:t>
      </w:r>
    </w:p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2. El estado del arte, por líneas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Qué va en esta sección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Esta es la sección larga: entre dos y tres páginas. Un párrafo por línea, cada uno con dos a cuatro citas.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El mensaje transversal que tiene que quedar: el problema vive en el cruce de cinco líneas que casi no se citan entre sí, y esa desconexión es la razón de que el hueco exista.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No hace falta resumir cada paper. Hace falta decir qué resolvió cada línea y qué dejó sin resolver.</w:t>
            </w:r>
          </w:p>
        </w:tc>
      </w:tr>
    </w:tbl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párrafo de apertura de 3–4 líneas: enunciar el cruce de las cinco líneas y anticipar que el aporte está en la intersección]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2.1 Estimación de esfuerzo y duración en software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La línea es de décadas y está revisada sistemáticamente: Jørgensen &amp; Shepperd (2007) para el panorama clásico; Pasuksmit et al. (2024) para la SLR más reciente en ágil.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Simular la entrega por muestreo bootstrap de duraciones históricas está validado empíricamente: Miranda et al. (2021), 71 proyectos y más de 12.000 historias, MMRE de 32% en fecha de entrega.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Los baselines simples son duros de vencer: Tawosi et al. (2023) muestran que deep learning sobre 31.960 issues apenas le gana a la mediana por clase.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la línea dejó sin resolver: </w:t>
      </w:r>
      <w:r>
        <w:rPr>
          <w:rFonts w:ascii="Calibri" w:cs="Calibri" w:eastAsia="Calibri" w:hAnsi="Calibri"/>
          <w:sz w:val="21"/>
          <w:szCs w:val="21"/>
        </w:rPr>
        <w:t xml:space="preserve">casi todo se evalúa con error puntual (MMRE, MAE). Shepperd &amp; MacDonell (2012) ya venían pidiendo baselines triviales y tamaño de efecto en lugar de MMRE.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párrafo. Cerrar con la idea de que el motor de simulación no es lo novedoso: está resuelto y publicado]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2.2 Evaluación y calibración de pronósticos probabilísticos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El criterio formal es de Gneiting, Balabdaoui &amp; Raftery (2007): maximizar la nitidez (sharpness) sujeto a calibración. De ahí salen el histograma PIT y los tipos de calibración.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Las reglas de puntuación propias — CRPS, pinball, log score — están en Gneiting &amp; Raftery (2007), con tutoriales posteriores en Gneiting &amp; Katzfuss (2014) y Gneiting et al. (2023).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La traducción al vocabulario de ingeniería de software la hace Jørgensen (2019), en cuatro páginas.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más cercano a lo que queremos hacer: </w:t>
      </w:r>
      <w:r>
        <w:rPr>
          <w:rFonts w:ascii="Calibri" w:cs="Calibri" w:eastAsia="Calibri" w:hAnsi="Calibri"/>
          <w:sz w:val="21"/>
          <w:szCs w:val="21"/>
        </w:rPr>
        <w:t xml:space="preserve">Jørgensen, Welde &amp; Halkjelsvik (2023) aplican hit rate, PIT, ancho relativo y CRPS sobre 69 proyectos reales — pero sobre costo de infraestructura pública, no sobre software ni sobre fechas.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la línea dejó sin resolver: </w:t>
      </w:r>
      <w:r>
        <w:rPr>
          <w:rFonts w:ascii="Calibri" w:cs="Calibri" w:eastAsia="Calibri" w:hAnsi="Calibri"/>
          <w:sz w:val="21"/>
          <w:szCs w:val="21"/>
        </w:rPr>
        <w:t xml:space="preserve">el marco supone distribuciones continuas, y prácticamente no se aplicó a software.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párrafo. Acá conviene señalar que esta es la comunidad de la que la ingeniería de software casi no toma nada, y que ese préstamo es parte del aporte]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2.3 Validación temporal y no estacionariedad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Sigweni, Shepperd &amp; Turchi (2016) muestran, con 477 predicciones, que leave-one-out da resultados más optimistas que evaluar en orden cronológico. Es la cita de origen móvil dentro de la disciplina.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La línea de ventanas móviles — Lokan &amp; Mendes (2009, 2017), Amasaki &amp; Lokan (2015) — arroja resultados contradictorios, incluido un resultado negativo en la réplica de 2017.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Minku &amp; Yao (2017) proponen el encuadre alternativo: no descartar la historia vieja sino ponderarla según cómo viene prediciendo.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la línea dejó sin resolver: </w:t>
      </w:r>
      <w:r>
        <w:rPr>
          <w:rFonts w:ascii="Calibri" w:cs="Calibri" w:eastAsia="Calibri" w:hAnsi="Calibri"/>
          <w:sz w:val="21"/>
          <w:szCs w:val="21"/>
        </w:rPr>
        <w:t xml:space="preserve">todo trabaja a nivel proyecto, sobre datasets multi-organización, con el tiempo como variable continua y sin una variable explícita de versión de proceso.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párrafo. Mencionar que asumimos como regla de diseño que el corte del backtesting es el momento del pronóstico, no el de finalización — es más estricto que Sigweni et al.]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2.4 Clases de referencia y taxonomías de trabajo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El origen es Flyvbjerg (2006, 2008) y la “outside view” de Lovallo &amp; Kahneman (2003), siempre a nivel proyecto o megaproyecto.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Cantarelli et al. (2025), revisión sistemática de 61 artículos, formulan el problema central: construir la clase. Ancha da mucha varianza; angosta, poca muestra. Es exactamente nuestro dilema con celdas de tamaño chico.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Sobre confiabilidad de las etiquetas: Herzig, Just &amp; Zeller (2013) encontraron que un tercio de los issues clasificados como bug no lo eran. El Emam (1999) da umbrales de kappa derivados de datos de ingeniería de software.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la línea dejó sin resolver: </w:t>
      </w:r>
      <w:r>
        <w:rPr>
          <w:rFonts w:ascii="Calibri" w:cs="Calibri" w:eastAsia="Calibri" w:hAnsi="Calibri"/>
          <w:sz w:val="21"/>
          <w:szCs w:val="21"/>
        </w:rPr>
        <w:t xml:space="preserve">no encontramos ningún estudio que reporte acuerdo entre evaluadores para asignar niveles de complejidad o tallas a tareas de software.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párrafo]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2.5 Medición empírica de desarrollo con agentes de IA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La línea explotó en 2026 alrededor de un dataset: AIDev (Li, Zhang &amp; Hassan, 2026), 932.791 pull requests en el corte publicado.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Kumar et al. (2025) es el estudio de campo de referencia sobre colaboración desarrollador–agente. Declara explícitamente que no analizó duraciones.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Dao et al. (2026) es lo más cercano a pronosticar trabajo agéntico: predicen esfuerzo de revisión de PRs y publican una curva de calibración.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Existe predicción ex ante de recursos, pero de tokens o de probabilidad de éxito, y es mala: variabilidad de 30× en consumo de tokens, autopredicción con correlación 0,39 (Bai et al., 2026); los modelos sobreestiman la duración de sus propias tareas entre 4 y 7 veces (Garikaparthi, 2026).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competidor nominal más cercano: </w:t>
      </w:r>
      <w:r>
        <w:rPr>
          <w:rFonts w:ascii="Calibri" w:cs="Calibri" w:eastAsia="Calibri" w:hAnsi="Calibri"/>
          <w:sz w:val="21"/>
          <w:szCs w:val="21"/>
        </w:rPr>
        <w:t xml:space="preserve">El-Ramly (2026), un modelo de estimación de costo para ingeniería agéntica. Es conceptual, determinístico, sin datos, y el propio autor pide calibración empírica futura.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la línea dejó sin resolver: </w:t>
      </w:r>
      <w:r>
        <w:rPr>
          <w:rFonts w:ascii="Calibri" w:cs="Calibri" w:eastAsia="Calibri" w:hAnsi="Calibri"/>
          <w:sz w:val="21"/>
          <w:szCs w:val="21"/>
        </w:rPr>
        <w:t xml:space="preserve">mide productividad, adopción e intervención. No mide entrega, y no calibra ninguna distribución.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párrafo. Cerrar con el sesgo declarable: casi toda la evidencia sale de un dataset y de open source, sin latencia de cliente, escalaciones ni versión de proceso]</w:t>
      </w:r>
    </w:p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3. El hueco que ocupa la tesis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Qué va en esta sección — y la trampa a evitar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Media página. Es la sección que la tutora va a leer con más atención, porque es donde se justifica que la tesis exista.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OJO: la versión tajante es falsa y verificable. NO escribir “nadie calibra nada sobre agentes”: la calibración de probabilidad binaria de éxito sí existe y está publicada.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La formulación que sí resiste una revisión está en la caja de abajo. Usarla textual o casi textual.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3.1 La distinción que hay que hacer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Calibración de una probabilidad binaria sobre trabajo agéntico: </w:t>
      </w:r>
      <w:r>
        <w:rPr>
          <w:rFonts w:ascii="Calibri" w:cs="Calibri" w:eastAsia="Calibri" w:hAnsi="Calibri"/>
          <w:sz w:val="21"/>
          <w:szCs w:val="21"/>
        </w:rPr>
        <w:t xml:space="preserve">sí existe. Dao et al. (2026) publican una curva de calibración, y toda la línea de incertidumbre agéntica de 2026 calibra probabilidad de éxito con AUROC y ECE.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Calibración de una distribución predictiva sobre una duración o una fecha, en software: </w:t>
      </w:r>
      <w:r>
        <w:rPr>
          <w:rFonts w:ascii="Calibri" w:cs="Calibri" w:eastAsia="Calibri" w:hAnsi="Calibri"/>
          <w:sz w:val="21"/>
          <w:szCs w:val="21"/>
        </w:rPr>
        <w:t xml:space="preserve">no encontramos ninguno, con agentes ni sin ellos.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12355B" w:sz="8"/>
          <w:left w:val="single" w:color="12355B" w:sz="8"/>
          <w:bottom w:val="single" w:color="12355B" w:sz="8"/>
          <w:right w:val="single" w:color="12355B" w:sz="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La frase para la memoria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“Sobre entrega de software no encontramos evaluación de calibración de distribuciones predictivas.”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3.2 Los vacíos concretos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Pronóstico de fechas de entrega para trabajo ejecutado por agentes. </w:t>
      </w:r>
      <w:r>
        <w:rPr>
          <w:rFonts w:ascii="Calibri" w:cs="Calibri" w:eastAsia="Calibri" w:hAnsi="Calibri"/>
          <w:sz w:val="21"/>
          <w:szCs w:val="21"/>
        </w:rPr>
        <w:t xml:space="preserve">No existe. Lo más cercano es predicción puntual o clasificación sobre PRs individuales en open source. Nada a nivel proyecto, nada con grafo de dependencias, nada con horizonte de fecha.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Monte Carlo sobre throughput sin validación de calibración. </w:t>
      </w:r>
      <w:r>
        <w:rPr>
          <w:rFonts w:ascii="Calibri" w:cs="Calibri" w:eastAsia="Calibri" w:hAnsi="Calibri"/>
          <w:sz w:val="21"/>
          <w:szCs w:val="21"/>
        </w:rPr>
        <w:t xml:space="preserve">Miranda et al. (2021) emiten intervalos al 95% y nunca reportan su cobertura. Por nuestro recuento sobre sus tablas caen 11 de 15 — con n = 15 no es concluyente y hay que presentarlo como observación.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Acuerdo entre evaluadores para categorías de complejidad de tareas. </w:t>
      </w:r>
      <w:r>
        <w:rPr>
          <w:rFonts w:ascii="Calibri" w:cs="Calibri" w:eastAsia="Calibri" w:hAnsi="Calibri"/>
          <w:sz w:val="21"/>
          <w:szCs w:val="21"/>
        </w:rPr>
        <w:t xml:space="preserve">Sin antecedente. Un acuerdo bajo sería en sí mismo un hallazgo sobre la taxonomía, independiente del pronóstico.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Ventanas móviles a nivel tarea, en una organización, con cambios de proceso identificados. </w:t>
      </w:r>
      <w:r>
        <w:rPr>
          <w:rFonts w:ascii="Calibri" w:cs="Calibri" w:eastAsia="Calibri" w:hAnsi="Calibri"/>
          <w:sz w:val="21"/>
          <w:szCs w:val="21"/>
        </w:rPr>
        <w:t xml:space="preserve">Sin antecedente directo. Dato lateral: Miranda et al. observan que el error empeora al acumular historia y lo atribuyen a ruido; la explicación más plausible es no estacionariedad. Es evidencia a favor de nuestra premisa producida por un trabajo que no la reconoció.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Distribución de duración de tareas de agentes en proyectos comerciales. </w:t>
      </w:r>
      <w:r>
        <w:rPr>
          <w:rFonts w:ascii="Calibri" w:cs="Calibri" w:eastAsia="Calibri" w:hAnsi="Calibri"/>
          <w:sz w:val="21"/>
          <w:szCs w:val="21"/>
        </w:rPr>
        <w:t xml:space="preserve">No existe dataset publicado con duración por tarea, QA, escalaciones y latencia de cliente. La caracterización descriptiva ya es un resultado.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Pronóstico distribucional de trabajo en curso. </w:t>
      </w:r>
      <w:r>
        <w:rPr>
          <w:rFonts w:ascii="Calibri" w:cs="Calibri" w:eastAsia="Calibri" w:hAnsi="Calibri"/>
          <w:sz w:val="21"/>
          <w:szCs w:val="21"/>
        </w:rPr>
        <w:t xml:space="preserve">Verenich et al. (2019) comparan 16 métodos de tiempo restante sobre 16 logs reales y ninguno produce intervalos.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dos o tres párrafos que ordenen esto. No hace falta desarrollar los seis: elegir los que mejor sostienen los objetivos específicos y dejar el resto como enumeración]</w:t>
      </w:r>
    </w:p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4. Qué cambió en el diseño a partir de esta lectura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Por qué esta sección vale más que las otras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Media página. Es la que demuestra que se leyó de verdad y no se armó una lista bibliográfica.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Son tres cosas que creíamos hace dos semanas y que la lectura completa corrigió. Contarlas como corrección, sin defensividad.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4.1 Miranda et al. no es el precedente de nuestro motor: es el precedente de nuestro baseline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Su método es bootstrap de tiempos entre cierres, sin categorías ni dependencias: es exactamente el conteo puro. Tiene dos consecuencias. La buena: el baseline pasa a tener DOI y datos reales, y deja de ser acusable de hombre de paja. La mala: lo que el motor agrega por encima del conteo puro sigue sin validación publicada, y eso es carga nuestra.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reescribir en su voz, 3–4 líneas]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4.2 La cobertura sola no permite rankear modelos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Gneiting et al. demuestran con una simulación que cuatro pronosticadores de calidad muy distinta producen coberturas e histogramas PIT casi indistinguibles. Nuestro baseline de conteo puro va a estar bien calibrado: es un pronosticador climatológico. Si el protocolo de comparación rankeara por cobertura, concluiríamos que las categorías no aportan, y sería falso. La consecuencia de diseño es concreta: el torneo rankea por CRPS y por ancho de intervalo, con la calibración como filtro previo, y eso queda escrito en el protocolo antes de correr nada.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reescribir en su voz]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4.3 Hay un problema técnico abierto que no teníamos identificado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Todo el marco del PIT supone distribuciones continuas. Con duraciones en días enteros el PIT no da uniforme aunque el modelo sea perfecto, y el histograma muestra bandas falsas que leeríamos como mala calibración. Hay solución publicada — PIT no randomizado (Czado, Gneiting &amp; Held, 2009), un test robusto a muestra chica y a PITs correlacionados (Knüppel, 2015 o Rossi &amp; Sekhposyan, 2019) y Diebold–Mariano con corrección de Harvey et al. para comparar CRPS. Son tres citas y ningún método nuevo: es evaluación, no modelado.</w:t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reescribir en su voz. Si quieren, acá pueden pedirle opinión explícita a la tutora]</w:t>
      </w:r>
    </w:p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5. Decisiones abiertas y cómo pensamos resolverlas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Qué va en esta sección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Media página, en tabla. Mostrar decisiones abiertas no es debilidad: es lo que le permite a la tutora intervenir antes de que sea caro cambiarlas.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Cada fila dice qué está abierto, de qué depende y cuándo se cierra. Si no saben la fecha, pongan la fase.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No comprometerse acá con métodos concretos: cada método declarado es una justificación bibliográfica que después hay que escribir.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AB4C0" w:sz="2"/>
          <w:left w:val="single" w:color="AAB4C0" w:sz="2"/>
          <w:bottom w:val="single" w:color="AAB4C0" w:sz="2"/>
          <w:right w:val="single" w:color="AAB4C0" w:sz="2"/>
          <w:insideH w:val="single" w:color="D5DBE2" w:sz="2"/>
          <w:insideV w:val="single" w:color="D5DBE2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235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abierta</w:t>
            </w:r>
          </w:p>
        </w:tc>
        <w:tc>
          <w:tcPr>
            <w:tcW w:type="dxa" w:w="6360"/>
            <w:shd w:fill="1235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qué depende y cuándo se cierra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Motor de simulación y familia de distribución de duraciones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Depende de la forma empírica de las duraciones en el export de Rootstrap. No se fija antes de ver los datos. Hay antecedente de lognormal para duraciones de actividades (Colin &amp; Vanhoucke, 2016), pero no lo adoptamos a priori.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Batería de métricas de calibración</w:t>
            </w:r>
          </w:p>
        </w:tc>
        <w:tc>
          <w:tcPr>
            <w:tcW w:type="dxa" w:w="636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Mínimo defendible: cobertura por cuantil, PIT no randomizado, CRPS y ancho relativo. Se cierra al diseñar el boletín de evaluación.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PIT discreto: ¿hace falta?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Depende de si las duraciones vienen en unidades enteras. Es una de las preguntas al export.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Tiers de complejidad: ¿nominales u ordinales?</w:t>
            </w:r>
          </w:p>
        </w:tc>
        <w:tc>
          <w:tcPr>
            <w:tcW w:type="dxa" w:w="636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Hay que decidirlo antes de correr el estudio de acuerdo. Los umbrales de El Emam son para kappa no ponderado y nominal; si los tratamos como ordinales hace falta kappa ponderado o alfa de Krippendorff, y todavía no tenemos fuente para el umbral en ese caso.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Tareas en curso al momento del pronóstico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 son frecuentes, entra censura por la derecha al alcance comprometido; si no, queda fuera. Depende del export.</w:t>
            </w:r>
          </w:p>
        </w:tc>
      </w:tr>
      <w:tr>
        <w:tc>
          <w:tcPr>
            <w:tcW w:type="dxa" w:w="30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Cuál de los estudios de objetivo 5 se prioriza</w:t>
            </w:r>
          </w:p>
        </w:tc>
        <w:tc>
          <w:tcPr>
            <w:tcW w:type="dxa" w:w="636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Somos tres con dedicación parcial. No entran los dos con la misma profundidad. Es una decisión a tomar con la tutora.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Plan B de datos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 no se concreta el acuerdo de datos, AIDev permite reconstruir el par (momento del pronóstico, desenlace), pero cambia la pregunta de investigación. Hay que verificarlo de primera mano antes de diciembre.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opcional: un párrafo que diga cuáles de estas son bloqueantes para la fase siguiente y cuáles pueden esperar]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2355B"/>
          <w:sz w:val="23"/>
          <w:szCs w:val="23"/>
        </w:rPr>
        <w:t xml:space="preserve">5.1 Tres referencias que no conseguimos</w:t>
      </w:r>
    </w:p>
    <w:p>
      <w:pPr>
        <w:spacing w:after="11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Las declaramos porque condicionan argumentos y porque puede tener acceso o contactos: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Jørgensen (2019), IST 115. </w:t>
      </w:r>
      <w:r>
        <w:rPr>
          <w:rFonts w:ascii="Calibri" w:cs="Calibri" w:eastAsia="Calibri" w:hAnsi="Calibri"/>
          <w:sz w:val="21"/>
          <w:szCs w:val="21"/>
        </w:rPr>
        <w:t xml:space="preserve">Disponible con licencia abierta en el repositorio NVA de Sikt; el endpoint de descarga nos devolvió error. Cuatro páginas.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Lokan &amp; Mendes (2017), EMSE 22(2). </w:t>
      </w:r>
      <w:r>
        <w:rPr>
          <w:rFonts w:ascii="Calibri" w:cs="Calibri" w:eastAsia="Calibri" w:hAnsi="Calibri"/>
          <w:sz w:val="21"/>
          <w:szCs w:val="21"/>
        </w:rPr>
        <w:t xml:space="preserve">Springer de pago. Es el resultado negativo sobre ventanas móviles y sostiene cómo planteamos el estudio de no estacionariedad. Vía: acceso institucional de ORT a Springer.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Batselier &amp; Vanhoucke (2016), PMJ 47(5). </w:t>
      </w:r>
      <w:r>
        <w:rPr>
          <w:rFonts w:ascii="Calibri" w:cs="Calibri" w:eastAsia="Calibri" w:hAnsi="Calibri"/>
          <w:sz w:val="21"/>
          <w:szCs w:val="21"/>
        </w:rPr>
        <w:t xml:space="preserve">SAGE de pago. Es la única comparación empírica de clases de referencia contra Monte Carlo que encontramos. Vía: acceso institucional a SAGE, o pedírselo a los autores.</w:t>
      </w:r>
    </w:p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6. Preguntas para la tutoría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Qué va en esta sección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Dos o tres preguntas concretas, no cinco genéricas. Una pregunta que ella pueda contestar en dos minutos vale más que una consulta abierta.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Abajo hay cuatro candidatas. Elijan las que de verdad les traben el trabajo y borren el resto.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before="0" w:line="276"/>
      </w:pPr>
      <w:r>
        <w:rPr>
          <w:rFonts w:ascii="Calibri" w:cs="Calibri" w:eastAsia="Calibri" w:hAnsi="Calibri"/>
          <w:b/>
          <w:bCs/>
          <w:color w:val="5A5A5A"/>
          <w:sz w:val="19"/>
          <w:szCs w:val="19"/>
        </w:rPr>
        <w:t xml:space="preserve">Candidatas (elegir 2 o 3):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Alcance del estudio de acuerdo entre evaluadores. </w:t>
      </w:r>
      <w:r>
        <w:rPr>
          <w:rFonts w:ascii="Calibri" w:cs="Calibri" w:eastAsia="Calibri" w:hAnsi="Calibri"/>
          <w:sz w:val="21"/>
          <w:szCs w:val="21"/>
        </w:rPr>
        <w:t xml:space="preserve">¿Lo ve como objetivo específico con peso propio, o como validación instrumental de la taxonomía? La respuesta cambia cuánto esfuerzo le dedicamos y si el resultado se reporta como hallazgo.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Formato del estado del arte en la memoria. </w:t>
      </w:r>
      <w:r>
        <w:rPr>
          <w:rFonts w:ascii="Calibri" w:cs="Calibri" w:eastAsia="Calibri" w:hAnsi="Calibri"/>
          <w:sz w:val="21"/>
          <w:szCs w:val="21"/>
        </w:rPr>
        <w:t xml:space="preserve">¿Prefiere una sección narrativa por líneas, como está armada acá, o una revisión con protocolo explícito de búsqueda y criterios de inclusión y exclusión? Lo segundo es más trabajo y hay que decidirlo ahora.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Resultado desfavorable. </w:t>
      </w:r>
      <w:r>
        <w:rPr>
          <w:rFonts w:ascii="Calibri" w:cs="Calibri" w:eastAsia="Calibri" w:hAnsi="Calibri"/>
          <w:sz w:val="21"/>
          <w:szCs w:val="21"/>
        </w:rPr>
        <w:t xml:space="preserve">Si el modelo completo empata con el baseline en CRPS, entendemos que es un hallazgo válido y reportable. ¿Coincide, o esperaría que ajustemos el diseño para evitar ese escenario?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Acceso a bibliografía paga. </w:t>
      </w:r>
      <w:r>
        <w:rPr>
          <w:rFonts w:ascii="Calibri" w:cs="Calibri" w:eastAsia="Calibri" w:hAnsi="Calibri"/>
          <w:sz w:val="21"/>
          <w:szCs w:val="21"/>
        </w:rPr>
        <w:t xml:space="preserve">¿Hay acceso institucional a Springer y SAGE, o conviene pedirles los trabajos directamente a los autores?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top w:val="dashed" w:color="C9A227" w:sz="4" w:space="6"/>
          <w:bottom w:val="dashed" w:color="C9A227" w:sz="4" w:space="6"/>
          <w:left w:val="dashed" w:color="C9A227" w:sz="4" w:space="6"/>
          <w:right w:val="dashed" w:color="C9A227" w:sz="4" w:space="6"/>
        </w:pBdr>
        <w:spacing w:after="200" w:before="100"/>
      </w:pPr>
      <w:r>
        <w:rPr>
          <w:rFonts w:ascii="Calibri" w:cs="Calibri" w:eastAsia="Calibri" w:hAnsi="Calibri"/>
          <w:i/>
          <w:iCs/>
          <w:color w:val="8A6D0B"/>
          <w:sz w:val="20"/>
          <w:szCs w:val="20"/>
        </w:rPr>
        <w:t xml:space="preserve">[ESCRIBIR ACÁ — si hay alguna pregunta propia que no esté en la lista, va acá — son las que más rinden]</w:t>
      </w:r>
    </w:p>
    <w:p>
      <w:r>
        <w:br w:type="page"/>
      </w:r>
    </w:p>
    <w:p>
      <w:pPr>
        <w:pStyle w:val="Heading1"/>
        <w:pBdr>
          <w:bottom w:val="single" w:color="12355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2355B"/>
          <w:sz w:val="28"/>
          <w:szCs w:val="28"/>
        </w:rPr>
        <w:t xml:space="preserve">Anexo. Bibliografía verificada</w:t>
      </w:r>
    </w:p>
    <w:tbl>
      <w:tblPr>
        <w:tblW w:type="dxa" w:w="9360"/>
        <w:tblBorders>
          <w:top w:val="single" w:color="BFC9D4" w:sz="2"/>
          <w:left w:val="single" w:color="12355B" w:sz="18"/>
          <w:bottom w:val="single" w:color="BFC9D4" w:sz="2"/>
          <w:right w:val="single" w:color="BFC9D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19"/>
                <w:szCs w:val="19"/>
              </w:rPr>
              <w:t xml:space="preserve">Sobre este anexo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Todas las entradas tienen DOI o URL efectivamente abierta. Las que no se pudieron verificar no están acá.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Los marcados con ✱ son los doce que se leyeron a texto completo y tienen resumen propio.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• Los marcados con (preprint) no están revisados por pares. Conviene que la distinción quede visible en la memoria final.</w:t>
            </w:r>
          </w:p>
        </w:tc>
      </w:tr>
    </w:tbl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Cantarelli, C. C., Davis, K., Pinto, J. K. y Turner, N. (2025). Reference class forecasting: promises, problems, and a research agenda moving forward. Production Planning &amp; Control, 37(7), 691–709. DOI 10.1080/09537287.2025.2578708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Czado, C., Gneiting, T. y Held, L. (2009). Predictive model assessment for count data. Biometrics, 65(4), 1254–1261. DOI 10.1111/j.1541-0420.2009.01191.x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Dao, et al. (2026). [Esfuerzo de revisión de PRs agénticos]. MSR 2026 Mining Challenge. DOI 10.1145/3793302.3793621 — completar autores y título exactos desde el PDF antes de enviar.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Diebold, F. X. (2015). Comparing predictive accuracy, twenty years later. Journal of Business &amp; Economic Statistics, 33(1), 1–9.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El Emam, K. (1999). Benchmarking kappa: interrater agreement in software process assessments. Empirical Software Engineering, 4(2), 113–133. DOI 10.1023/A:1009820201126 — leído en la versión de reporte técnico ISERN-98-02.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El-Ramly, M. (2026). ACEM: a cost estimation model for agentic software engineering. arXiv:2608.02582 (preprint).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Flyvbjerg, B. (2006). From Nobel Prize to project management: getting risks right. Project Management Journal, 37(3), 5–15. DOI 10.1177/875697280603700302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Flyvbjerg, B. (2008). Curbing optimism bias and strategic misrepresentation in planning: reference class forecasting in practice. European Planning Studies, 16(1), 3–21. DOI 10.1080/09654310701747936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Gneiting, T., Balabdaoui, F. y Raftery, A. E. (2007). Probabilistic forecasts, calibration and sharpness. Journal of the Royal Statistical Society B, 69(2), 243–268. DOI 10.1111/j.1467-9868.2007.00587.x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Gneiting, T. y Raftery, A. E. (2007). Strictly proper scoring rules, prediction, and estimation. JASA, 102(477), 359–378. DOI 10.1198/016214506000001437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Gneiting, T. y Katzfuss, M. (2014). Probabilistic forecasting. Annual Review of Statistics and Its Application, 1, 125–151. DOI 10.1146/annurev-statistics-062713-085831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Gneiting, T., et al. (2023). Model diagnostics and forecast evaluation for quantiles. Annual Review of Statistics and Its Application, 10. DOI 10.1146/annurev-statistics-032921-020240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Herzig, K., Just, S. y Zeller, A. (2013). It's not a bug, it's a feature: how misclassification impacts bug prediction. ICSE 2013. DOI 10.1109/ICSE.2013.6606585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Jørgensen, M. (2019). Evaluating probabilistic software development effort estimates: maximizing informativeness subject to calibration. Information and Software Technology, 115, 93–96. DOI 10.1016/j.infsof.2019.08.006 — no conseguido.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Jørgensen, M. y Sjøberg, D. I. K. (2003). An effort prediction interval approach based on the empirical distribution of previous estimation accuracy. Information and Software Technology, 45(3), 123–136. DOI 10.1016/S0950-5849(02)00188-X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Jørgensen, M., Teigen, K. H. y Moløkken, K. (2004). Better sure than safe? Over-confidence in judgement based software development effort prediction intervals. Journal of Systems and Software, 70(1–2), 79–93. DOI 10.1016/S0164-1212(02)00160-7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Jørgensen, M., Welde, M. y Halkjelsvik, T. (2023). Evaluation of probabilistic project cost estimates. IEEE Transactions on Engineering Management, 70(10). DOI 10.1109/TEM.2021.3067050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Kumar, A., Bajpai, R., Gulwani, S., Soares, G. y Murphy-Hill, E. (2025). Why AI agents still need you: findings from developer–agent collaborations in the wild. ASE 2025. arXiv:2506.12347 — aceptación declarada, DOI de la versión de conferencia no verificado.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Li, H., Zhang, Y. y Hassan, A. E. (2026). AIDev: studying AI coding agents on GitHub. MSR 2026. arXiv:2602.09185 (preprint) — el DOI de ACM no resuelve.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Lokan, C. y Mendes, E. (2009). Applying moving windows to software effort estimation. ESEM 2009, 111–122. DOI 10.1109/ESEM.2009.5316019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Lokan, C. y Mendes, E. (2017). Investigating the use of moving windows to improve software effort prediction: a replicated study. Empirical Software Engineering, 22(2), 716–767. DOI 10.1007/s10664-016-9446-4 — no conseguido.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Minku, L. L. y Yao, X. (2017). Which models of the past are relevant to the present? A software effort estimation approach to exploiting useful past models. Automated Software Engineering, 24(3), 499–542. DOI 10.1007/s10515-016-0209-7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Miranda, P., Faria, J. P., Correia, F. F., Fares, A., Graça, R. y Mendes Moreira, J. (2021). An analysis of Monte Carlo simulations for forecasting software projects. ACM SAC '21, 1550–1558. DOI 10.1145/3412841.3442030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Rootstrap (2026). Data-backed estimations. Whitepaper interno (literatura gris, sin datos).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Shepperd, M. y MacDonell, S. (2012). Evaluating prediction systems in software project estimation. Information and Software Technology, 54(8), 820–827. DOI 10.1016/j.infsof.2011.12.008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✱ Sigweni, B., Shepperd, M. y Turchi, T. (2016). Realistic assessment of software effort estimation models. EASE 2016. DOI 10.1145/2915970.2916005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Tawosi, V., Moussa, R. y Sarro, F. (2023). Agile effort estimation: have we solved the problem yet? Insights from a replication study. IEEE TSE, 49(4), 2677–2697. DOI 10.1109/TSE.2022.3228739</w:t>
      </w:r>
    </w:p>
    <w:p>
      <w:pPr>
        <w:spacing w:after="110" w:line="252"/>
        <w:ind w:left="340" w:hanging="340"/>
      </w:pPr>
      <w:r>
        <w:rPr>
          <w:rFonts w:ascii="Calibri" w:cs="Calibri" w:eastAsia="Calibri" w:hAnsi="Calibri"/>
          <w:sz w:val="19"/>
          <w:szCs w:val="19"/>
        </w:rPr>
        <w:t xml:space="preserve">Verenich, I., Dumas, M., La Rosa, M., Maggi, F. M. y Teinemaa, I. (2019). Survey and cross-benchmark comparison of remaining time prediction methods in business process monitoring. ACM TIST, 10(4). arXiv:1805.02896</w:t>
      </w:r>
    </w:p>
    <w:p>
      <w:pPr>
        <w:spacing w:after="240"/>
      </w:pPr>
      <w:r>
        <w:rPr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A5A5A"/>
          <w:sz w:val="19"/>
          <w:szCs w:val="19"/>
        </w:rPr>
        <w:t xml:space="preserve">Nota. 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El relevamiento completo, con alrededor de cien candidatos, el triage en tres ejes y la lista de pendientes de verificación, está en el documento interno del equipo y se puede compartir si lo pide.</w:t>
      </w:r>
    </w:p>
    <w:sectPr>
      <w:footerReference w:type="default" r:id="rId7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/>
    </w:r>
    <w:r>
      <w:rPr>
        <w:rFonts w:ascii="Calibri" w:cs="Calibri" w:eastAsia="Calibri" w:hAnsi="Calibri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7"/>
        <w:szCs w:val="17"/>
      </w:rPr>
      <w:t xml:space="preserve"> / </w:t>
    </w:r>
    <w:r>
      <w:rPr>
        <w:rFonts w:ascii="Calibri" w:cs="Calibri" w:eastAsia="Calibri" w:hAnsi="Calibri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arte — avance para la tutoría</dc:title>
  <dc:creator>Equipo de tesis</dc:creator>
  <cp:lastModifiedBy>Un-named</cp:lastModifiedBy>
  <cp:revision>1</cp:revision>
  <dcterms:created xsi:type="dcterms:W3CDTF">2026-09-20T22:24:37.304Z</dcterms:created>
  <dcterms:modified xsi:type="dcterms:W3CDTF">2026-09-20T22:24:37.314Z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