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aps/>
          <w:color w:val="0E7C86"/>
          <w:sz w:val="22"/>
          <w:szCs w:val="22"/>
        </w:rPr>
        <w:t xml:space="preserve">Caso de Estudio · WP3 / Academia</w:t>
      </w:r>
    </w:p>
    <w:p>
      <w:pPr>
        <w:spacing w:after="60"/>
      </w:pPr>
      <w:r>
        <w:rPr>
          <w:b/>
          <w:bCs/>
          <w:color w:val="16242F"/>
          <w:sz w:val="52"/>
          <w:szCs w:val="52"/>
        </w:rPr>
        <w:t xml:space="preserve">Diplomado en Economía Azul y Sostenibilidad Costera</w:t>
      </w:r>
    </w:p>
    <w:p>
      <w:pPr>
        <w:spacing w:after="200"/>
      </w:pPr>
      <w:r>
        <w:rPr>
          <w:i/>
          <w:iCs/>
          <w:color w:val="5A7280"/>
          <w:sz w:val="28"/>
          <w:szCs w:val="28"/>
        </w:rPr>
        <w:t xml:space="preserve">Piloto 1 · Formación técnico-profesional para la empleabilidad costera</w:t>
      </w:r>
    </w:p>
    <w:p>
      <w:pPr>
        <w:pBdr>
          <w:bottom w:val="single" w:color="0E7C86" w:sz="8" w:space="2"/>
        </w:pBdr>
        <w:spacing w:after="160"/>
      </w:pPr>
      <w:r>
        <w:t xml:space="preserve"/>
      </w:r>
    </w:p>
    <w:p>
      <w:pPr>
        <w:spacing w:after="120" w:line="276"/>
      </w:pPr>
      <w:r>
        <w:rPr>
          <w:color w:val="5A7280"/>
        </w:rPr>
        <w:t xml:space="preserve"/>
      </w:r>
      <w:r>
        <w:rPr>
          <w:b/>
          <w:bCs/>
          <w:color w:val="5A7280"/>
        </w:rPr>
        <w:t xml:space="preserve">Blue Economy Lab</w:t>
      </w:r>
      <w:r>
        <w:rPr>
          <w:color w:val="5A7280"/>
        </w:rPr>
        <w:t xml:space="preserve"> · WP3 · IDMA · Proyecto Erasmus+ N.º 101183250</w:t>
      </w:r>
    </w:p>
    <w:p>
      <w:pPr>
        <w:spacing w:after="120" w:line="276"/>
      </w:pPr>
      <w:r>
        <w:rPr>
          <w:color w:val="5A7280"/>
        </w:rPr>
        <w:t xml:space="preserve">Versión 1 · borrador — 22 de junio de 2026</w:t>
      </w:r>
    </w:p>
    <w:p>
      <w:pPr>
        <w:spacing w:after="0" w:before="120"/>
      </w:pPr>
      <w:r>
        <w:rPr>
          <w:i/>
          <w:iCs/>
          <w:color w:val="5A7280"/>
          <w:sz w:val="18"/>
          <w:szCs w:val="18"/>
        </w:rPr>
        <w:t xml:space="preserve">Documento generado como primera versión a partir de la evidencia del repositorio “WP3 Respaldo Ordenado”. Los datos entre [corchetes] quedan pendientes de confirmar por el equipo.</w:t>
      </w:r>
    </w:p>
    <w:p>
      <w:r>
        <w:br w:type="page"/>
      </w:r>
    </w:p>
    <w:p>
      <w:pPr>
        <w:pStyle w:val="Heading2"/>
      </w:pPr>
      <w:r>
        <w:t xml:space="preserve">Metadatos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Título corto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Diplomado en Economía Azul y Sostenibilidad Costera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País / Institución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Chile · IDMA — Academia de Medioambiente (OTEC) / Dirección de Educación Continua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[Sebastián Cerda — Educación Continua] · equipo mentee: Estefanía Campos, Juan Otero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Año / Semestre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2026 (ciclo de mentorías junio 2026)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Educación continua / superior (perfiles técnicos y profesionales)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Contexto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Costero, alcance nacional (modalidad 100% online + instancia presencial opcional)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Áreas clave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Economía azul, sostenibilidad costera, blue &amp; green skills, empleabilidad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ODS (≤3)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ODS 4 (Educación de calidad), ODS 8 (Trabajo decente), ODS 14 (Vida submarina)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1) Problema / oportunidad</w:t>
      </w:r>
    </w:p>
    <w:p>
      <w:pPr>
        <w:spacing w:after="120" w:line="276"/>
      </w:pPr>
      <w:r>
        <w:t xml:space="preserve">La hipótesis del piloto, validada en la Mentoría 1 con la entrevista a Víctor Bravo, es la existencia de una </w:t>
      </w:r>
      <w:r>
        <w:rPr>
          <w:b/>
          <w:bCs/>
        </w:rPr>
        <w:t xml:space="preserve">necesidad académica no cubierta</w:t>
      </w:r>
      <w:r>
        <w:t xml:space="preserve">: hoy no hay una oferta formativa pertinente en economía azul que dialogue con el mercado laboral costero y con las oportunidades reales del territorio.</w:t>
      </w:r>
    </w:p>
    <w:p>
      <w:pPr>
        <w:spacing w:after="120" w:line="276"/>
      </w:pPr>
      <w:r>
        <w:t xml:space="preserve">Chile cuenta con cerca de 4.000 km de costa y con sectores productivos (pesquero, salmonero y turístico costero) que demandan capital humano especializado. El diplomado responde con un discurso de </w:t>
      </w:r>
      <w:r>
        <w:rPr>
          <w:b/>
          <w:bCs/>
        </w:rPr>
        <w:t xml:space="preserve">“oportunidad más conservación”</w:t>
      </w:r>
      <w:r>
        <w:t xml:space="preserve"> que supera el paradigma de la conservación intocable y conecta sostenibilidad con desarrollo y empleo.</w:t>
      </w:r>
    </w:p>
    <w:p>
      <w:pPr>
        <w:pStyle w:val="Heading1"/>
      </w:pPr>
      <w:r>
        <w:t xml:space="preserve">2) Objetivos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Objetivo general.</w:t>
      </w:r>
      <w:r>
        <w:t xml:space="preserve"> Formar personas capaces de identificar y aprovechar oportunidades de desarrollo sostenible asociadas al mar, las costas y los recursos hídricos, entregando especialización práctica en economía azul y mejorando su empleabilidad.</w:t>
      </w:r>
    </w:p>
    <w:p>
      <w:pPr>
        <w:spacing w:after="120" w:line="276"/>
      </w:pPr>
      <w:r>
        <w:t xml:space="preserve">Resultados de aprendizaje (borrador, sujeto a revisión técnica de Estefanía Campos):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RA1 · Explicar los fundamentos de la economía azul y circular y su aplicación a los ecosistemas marino-costeros.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RA2 · Aplicar criterios de gestión sostenible de recursos y residuos marinos a casos reales del territorio.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RA3 · Reconocer tecnologías, modelos de negocio y oportunidades de innovación de la economía azul.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RA4 · Formular una propuesta de proyecto de economía circular marina con vínculo al sector productivo y a la empleabilidad.</w:t>
      </w:r>
    </w:p>
    <w:p>
      <w:pPr>
        <w:pStyle w:val="Heading1"/>
      </w:pPr>
      <w:r>
        <w:t xml:space="preserve">3) Población objetivo y actores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Usuario principal — arquetipo “Amaro” (25–45 años):</w:t>
      </w:r>
      <w:r>
        <w:t xml:space="preserve"> persona con título o cursos previos, alta conciencia ecológica, que busca especialización práctica, redes con el sector y claridad sobre su continuidad formativa. Se identificaron cinco subperfiles (M1), desde el estudiante técnico medio hasta personas en crisis vocacional.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Actores y roles: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Equipo IDMA / Academia de Medioambiente (Juan Otero, Estefanía Campos) — diseño y dictado.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Sebastián Cerda (Dir. Educación Continua / OTEC AMA) — mentor M2; estructura estandarizada y revisión curricular.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Aldo Poblete (biólogo marino, docente IDMA) — voz experta M3 y M4; empleabilidad e inserción laboral.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Aliados del sector: Subpesca, IFOP, Sernapesca, Directemar/Capitanías, gremios de pescadores, ECIM-PUC, cámaras de comercio y turismo costero.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Estudiantes y docentes del perfil de Amaro — usuarios y participantes del testeo.</w:t>
      </w:r>
    </w:p>
    <w:p>
      <w:pPr>
        <w:pStyle w:val="Heading1"/>
      </w:pPr>
      <w:r>
        <w:t xml:space="preserve">4) Enfoque y metodología</w:t>
      </w:r>
    </w:p>
    <w:p>
      <w:pPr>
        <w:spacing w:after="120" w:line="276"/>
      </w:pPr>
      <w:r>
        <w:t xml:space="preserve">El diplomado se diseña bajo el </w:t>
      </w:r>
      <w:r>
        <w:rPr>
          <w:b/>
          <w:bCs/>
        </w:rPr>
        <w:t xml:space="preserve">enfoque de microcredenciales (MicroVET / MBMC)</w:t>
      </w:r>
      <w:r>
        <w:t xml:space="preserve"> y combina clases sincrónicas, </w:t>
      </w:r>
      <w:r>
        <w:rPr>
          <w:b/>
          <w:bCs/>
        </w:rPr>
        <w:t xml:space="preserve">aprendizaje basado en problemas (ABP)</w:t>
      </w:r>
      <w:r>
        <w:t xml:space="preserve"> con casos reales del territorio (no hipotéticos), análisis de casos (pesca, salmonicultura, turismo costero), aula inversa y trabajo autónomo guiado, más una instancia presencial opcional de vinculación.</w:t>
      </w:r>
    </w:p>
    <w:p>
      <w:pPr>
        <w:spacing w:after="120" w:line="276"/>
      </w:pPr>
      <w:r>
        <w:t xml:space="preserve">Acuerdo metodológico de la Mentoría 3: cada curso combina aproximadamente </w:t>
      </w:r>
      <w:r>
        <w:rPr>
          <w:b/>
          <w:bCs/>
        </w:rPr>
        <w:t xml:space="preserve">60 % teoría / 40 % práctica</w:t>
      </w:r>
      <w:r>
        <w:t xml:space="preserve">, con una micro-certificación específica por curso y evaluación centrada en la </w:t>
      </w:r>
      <w:r>
        <w:rPr>
          <w:b/>
          <w:bCs/>
        </w:rPr>
        <w:t xml:space="preserve">respuesta autónoma ante situaciones de crisis</w:t>
      </w:r>
      <w:r>
        <w:t xml:space="preserve"> (“criterio operativo”).</w:t>
      </w:r>
    </w:p>
    <w:p>
      <w:pPr>
        <w:pStyle w:val="Heading1"/>
      </w:pPr>
      <w:r>
        <w:t xml:space="preserve">5) Actividades principales</w:t>
      </w:r>
    </w:p>
    <w:p>
      <w:pPr>
        <w:spacing w:after="120" w:line="276"/>
      </w:pPr>
      <w:r>
        <w:t xml:space="preserve">El piloto recorrió el ciclo de cuatro mentorías del proyecto: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/>
      </w:r>
      <w:r>
        <w:rPr>
          <w:b/>
          <w:bCs/>
        </w:rPr>
        <w:t xml:space="preserve">M1 · Segmento y problema</w:t>
      </w:r>
      <w:r>
        <w:t xml:space="preserve"> — definición del arquetipo Amaro y validación de la necesidad con Víctor Bravo.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/>
      </w:r>
      <w:r>
        <w:rPr>
          <w:b/>
          <w:bCs/>
        </w:rPr>
        <w:t xml:space="preserve">M2 · Propuesta de valor y estructura</w:t>
      </w:r>
      <w:r>
        <w:t xml:space="preserve"> — con Sebastián Cerda: cuatro cursos de 30 h, modalidad y microcredenciales.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/>
      </w:r>
      <w:r>
        <w:rPr>
          <w:b/>
          <w:bCs/>
        </w:rPr>
        <w:t xml:space="preserve">M3 · Testeo (19/06/2026)</w:t>
      </w:r>
      <w:r>
        <w:t xml:space="preserve"> — con Aldo Poblete + Estefanía Campos y Juan Otero: validación de empleabilidad, eje de gobernanza/permisología y micro-certificación por curso.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/>
      </w:r>
      <w:r>
        <w:rPr>
          <w:b/>
          <w:bCs/>
        </w:rPr>
        <w:t xml:space="preserve">M4 · Implementación</w:t>
      </w:r>
      <w:r>
        <w:t xml:space="preserve"> — financiamiento (SENCE), equipo docente y timing de lanzamiento.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Estructura curricular (4 cursos × 30 h = 120 h):</w:t>
      </w:r>
      <w:r>
        <w:t xml:space="preserve"> (1) Economía azul y sistemas marino-costeros; (2) Gestión de recursos y residuos marinos; (3) Innovación, emprendimiento y tecnologías marinas; (4) Normativa e institucionalidad (gobernanza, SEA/SEIA, Servicio de Biodiversidad).</w:t>
      </w:r>
    </w:p>
    <w:p>
      <w:pPr>
        <w:pStyle w:val="Heading1"/>
      </w:pPr>
      <w:r>
        <w:t xml:space="preserve">6) Recursos utilizados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Humanos: al menos 2 docentes por módulo (experto disciplinar + docente práctico) y coordinación académica.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Plataforma de educación online y recursos digitales; cápsulas de microlearning.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Estructura estandarizada de la Academia de Medioambiente (OTEC) para programa y evaluación.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Financiamiento: franquicia tributaria SENCE (OTEC ya inscrita) y venta directa a empresas.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Horas estimadas: 120 h académicas por participante; [presupuesto referencial por confirmar].</w:t>
      </w:r>
    </w:p>
    <w:p>
      <w:pPr>
        <w:pStyle w:val="Heading1"/>
      </w:pPr>
      <w:r>
        <w:t xml:space="preserve">7) Competencias trabajadas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Comprensión de la economía azul y circular en sistemas marino-costeros.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Gestión sostenible de recursos y residuos marinos.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Formulación y gestión de proyectos vinculados al sector productivo.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“Criterio operativo ante la crisis” y toma de decisiones autónoma.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Alfabetización tecnológica (GPS, multiparámetro, pH) como “lenguaje común” teoría-práctica.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Navegación de la gobernanza y la permisología del borde costero.</w:t>
      </w:r>
    </w:p>
    <w:p>
      <w:pPr>
        <w:pStyle w:val="Heading1"/>
      </w:pPr>
      <w:r>
        <w:t xml:space="preserve">8) Resultados y evidencias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Productos:</w:t>
      </w:r>
      <w:r>
        <w:t xml:space="preserve"> propuesta de solución </w:t>
      </w:r>
      <w:r>
        <w:rPr>
          <w:b/>
          <w:bCs/>
        </w:rPr>
        <w:t xml:space="preserve">v0.5</w:t>
      </w:r>
      <w:r>
        <w:t xml:space="preserve"> (programa del diplomado con estructura estandarizada), Canvas MicroVET del piloto, y reportes de las mentorías M1–M4.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Indicadores / resultados (borrador):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Estructura definida: 4 cursos × 30 h con micro-certificación por curso (ej. monitoreo con GIS, ISO 14001, formulación de proyectos, valorización de residuos).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Testeo de empleabilidad validado por Aldo Poblete (demanda de “criterio operativo” y de un lenguaje común teoría-práctica).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Nuevo eje incorporado: gobernanza y permisología (SEA/SEIA, Subpesca, Sernapesca, IFOP, Directemar, planes PRAMA).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[Resultados de la encuesta de demanda formativa — por completar con la base de contactos de Juan Otero].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Evidencias:</w:t>
      </w:r>
      <w:r>
        <w:t xml:space="preserve"> documento de solución v0.5, Canvas MicroVET, transcripciones y reportes de mentoría (repositorio WP3 Respaldo Ordenado).</w:t>
      </w:r>
    </w:p>
    <w:p>
      <w:pPr>
        <w:pStyle w:val="Heading1"/>
      </w:pPr>
      <w:r>
        <w:t xml:space="preserve">9) Evaluación (instrumentos y síntesis)</w:t>
      </w:r>
    </w:p>
    <w:p>
      <w:pPr>
        <w:spacing w:after="120" w:line="276"/>
      </w:pPr>
      <w:r>
        <w:t xml:space="preserve">El piloto se evalúa con la </w:t>
      </w:r>
      <w:r>
        <w:rPr>
          <w:b/>
          <w:bCs/>
        </w:rPr>
        <w:t xml:space="preserve">rúbrica de evaluación cruzada T3.3</w:t>
      </w:r>
      <w:r>
        <w:t xml:space="preserve"> (8 criterios ponderados, escala 1–4, umbral de aprobación 80 %). Para el Diplomado, la asignación cruzada del consorcio designa como evaluadores a </w:t>
      </w:r>
      <w:r>
        <w:rPr>
          <w:b/>
          <w:bCs/>
        </w:rPr>
        <w:t xml:space="preserve">2811 y DomSpain</w:t>
      </w:r>
      <w:r>
        <w:t xml:space="preserve">.</w:t>
      </w:r>
    </w:p>
    <w:p>
      <w:pPr>
        <w:spacing w:after="120" w:line="276"/>
      </w:pPr>
      <w:r>
        <w:t xml:space="preserve">Instrumento de testeo propio: encuesta breve (Google Form) a estudiantes y docentes del perfil de Amaro, usando el documento de solución como simulación de la oferta (demanda formativa y aporte a la empleabilidad).</w:t>
      </w:r>
    </w:p>
    <w:p>
      <w:pPr>
        <w:pStyle w:val="Heading1"/>
      </w:pPr>
      <w:r>
        <w:t xml:space="preserve">10) Lecciones aprendidas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La estructura de 4 cursos de 30 h se prefirió a 8 minicursos de 15 h por dar mayor profundidad y mejor evaluación de competencias.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La modalidad online asegura cobertura nacional; lo presencial reduce a la mitad el público potencial.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nudo crítico es el financiamiento de los equipos humanos: conviene aprovechar instrumentos (SENCE) que reduzcan el trabajo al adaptar el “paquete” ya construido.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nombre del diplomado debe testearse con el público objetivo (qué entiende por él).</w:t>
      </w:r>
    </w:p>
    <w:p>
      <w:pPr>
        <w:pStyle w:val="Heading1"/>
      </w:pPr>
      <w:r>
        <w:t xml:space="preserve">11) Transferibilidad y sostenibilidad</w:t>
      </w:r>
    </w:p>
    <w:p>
      <w:pPr>
        <w:spacing w:after="120" w:line="276"/>
      </w:pPr>
      <w:r>
        <w:t xml:space="preserve">El diseño usa la </w:t>
      </w:r>
      <w:r>
        <w:rPr>
          <w:b/>
          <w:bCs/>
        </w:rPr>
        <w:t xml:space="preserve">estructura estandarizada de la Academia de Medioambiente</w:t>
      </w:r>
      <w:r>
        <w:t xml:space="preserve">, lo que facilita su réplica como oferta de educación continua. El programa es </w:t>
      </w:r>
      <w:r>
        <w:rPr>
          <w:b/>
          <w:bCs/>
        </w:rPr>
        <w:t xml:space="preserve">modularizable</w:t>
      </w:r>
      <w:r>
        <w:t xml:space="preserve"> (cursos reconocibles como microcredenciales) y puede articularse con microcursos presenciales como vía de ingreso.</w:t>
      </w:r>
    </w:p>
    <w:p>
      <w:pPr>
        <w:spacing w:after="120" w:line="276"/>
      </w:pPr>
      <w:r>
        <w:t xml:space="preserve">Requisitos mínimos de réplica: equipo docente (≥2 por módulo), plataforma online y un instrumento de financiamiento (SENCE / venta directa). Próximo paso: presentar a la coordinación académica de IDMA (Hilda Zúñiga) y a rectoría.</w:t>
      </w:r>
    </w:p>
    <w:p>
      <w:pPr>
        <w:pStyle w:val="Heading1"/>
      </w:pPr>
      <w:r>
        <w:t xml:space="preserve">12) Riesgos y mitigaciones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Financiamiento de los equipos humanos — mitigación: franquicia SENCE y venta a empresas; postulación a instrumentos.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Demanda incierta — mitigación: testeo de demanda (encuesta) antes del lanzamiento.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Revisión técnica curricular pendiente — mitigación: trabajo asignado a Estefanía Campos.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Timing de lanzamiento — mitigación: decisión estratégica en la Mentoría 4 de implementación.</w:t>
      </w:r>
    </w:p>
    <w:p>
      <w:pPr>
        <w:pStyle w:val="Heading1"/>
      </w:pPr>
      <w:r>
        <w:t xml:space="preserve">13) Uso en la Academia (M1–M4)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M1 (economía azul): cursos 1 y 2 como base conceptual.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M2 (empleos / skills): micro-certificaciones y vínculo con el sector.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M3 (ABP): estudio de casos reales y evaluación por respuesta autónoma.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M4 (liderazgo / gobernanza): curso 4 (normativa e institucionalidad) y formulación de proyectos.</w:t>
      </w:r>
    </w:p>
    <w:p>
      <w:pPr>
        <w:pStyle w:val="Heading1"/>
      </w:pPr>
      <w:r>
        <w:t xml:space="preserve">14) Referencias y créditos</w:t>
      </w:r>
    </w:p>
    <w:p>
      <w:pPr>
        <w:spacing w:after="120" w:line="276"/>
      </w:pPr>
      <w:r>
        <w:t xml:space="preserve">Fuentes: documento de solución “Diplomado en Economía Azul y Sostenibilidad Costera” v0.5 (IDMA, 2026); entrevistas a Víctor Bravo y Aldo Poblete; Propuesta Metodológica WP3.</w:t>
      </w:r>
    </w:p>
    <w:p>
      <w:pPr>
        <w:spacing w:after="120" w:line="276"/>
      </w:pPr>
      <w:r>
        <w:t xml:space="preserve">Créditos: equipo WP3 IDMA. Licencia sugerida: CC BY 4.0. Proyecto Erasmus+ N.º 101183250.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4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E7C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6242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A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2026-06-22T13:28:45.256Z</dcterms:created>
  <dcterms:modified xsi:type="dcterms:W3CDTF">2026-06-22T13:28:45.268Z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