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b/>
          <w:bCs/>
          <w:caps/>
          <w:color w:val="0E7C86"/>
          <w:sz w:val="22"/>
          <w:szCs w:val="22"/>
        </w:rPr>
        <w:t xml:space="preserve">Caso de Estudio · WP3 / Academia</w:t>
      </w:r>
    </w:p>
    <w:p>
      <w:pPr>
        <w:spacing w:after="60"/>
      </w:pPr>
      <w:r>
        <w:rPr>
          <w:b/>
          <w:bCs/>
          <w:color w:val="16242F"/>
          <w:sz w:val="52"/>
          <w:szCs w:val="52"/>
        </w:rPr>
        <w:t xml:space="preserve">Mes Azul IDMA</w:t>
      </w:r>
    </w:p>
    <w:p>
      <w:pPr>
        <w:spacing w:after="200"/>
      </w:pPr>
      <w:r>
        <w:rPr>
          <w:i/>
          <w:iCs/>
          <w:color w:val="5A7280"/>
          <w:sz w:val="28"/>
          <w:szCs w:val="28"/>
        </w:rPr>
        <w:t xml:space="preserve">Piloto 2 · Encuentro anual de vinculación de la economía azul</w:t>
      </w:r>
    </w:p>
    <w:p>
      <w:pPr>
        <w:pBdr>
          <w:bottom w:val="single" w:color="0E7C86" w:sz="8" w:space="2"/>
        </w:pBdr>
        <w:spacing w:after="160"/>
      </w:pPr>
      <w:r>
        <w:t xml:space="preserve"/>
      </w:r>
    </w:p>
    <w:p>
      <w:pPr>
        <w:spacing w:after="120" w:line="276"/>
      </w:pPr>
      <w:r>
        <w:rPr>
          <w:color w:val="5A7280"/>
        </w:rPr>
        <w:t xml:space="preserve"/>
      </w:r>
      <w:r>
        <w:rPr>
          <w:b/>
          <w:bCs/>
          <w:color w:val="5A7280"/>
        </w:rPr>
        <w:t xml:space="preserve">Blue Economy Lab</w:t>
      </w:r>
      <w:r>
        <w:rPr>
          <w:color w:val="5A7280"/>
        </w:rPr>
        <w:t xml:space="preserve"> · WP3 · IDMA · Proyecto Erasmus+ N.º 101183250</w:t>
      </w:r>
    </w:p>
    <w:p>
      <w:pPr>
        <w:spacing w:after="120" w:line="276"/>
      </w:pPr>
      <w:r>
        <w:rPr>
          <w:color w:val="5A7280"/>
        </w:rPr>
        <w:t xml:space="preserve">Versión 1 · borrador — 22 de junio de 2026</w:t>
      </w:r>
    </w:p>
    <w:p>
      <w:pPr>
        <w:spacing w:after="0" w:before="120"/>
      </w:pPr>
      <w:r>
        <w:rPr>
          <w:i/>
          <w:iCs/>
          <w:color w:val="5A7280"/>
          <w:sz w:val="18"/>
          <w:szCs w:val="18"/>
        </w:rPr>
        <w:t xml:space="preserve">Documento generado como primera versión a partir de la evidencia del repositorio “WP3 Respaldo Ordenado”. Los datos entre [corchetes] quedan pendientes de confirmar por el equipo.</w:t>
      </w:r>
    </w:p>
    <w:p>
      <w:r>
        <w:br w:type="page"/>
      </w:r>
    </w:p>
    <w:p>
      <w:pPr>
        <w:pStyle w:val="Heading2"/>
      </w:pPr>
      <w:r>
        <w:t xml:space="preserve">Metadatos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Título corto</w:t>
            </w:r>
          </w:p>
        </w:tc>
        <w:tc>
          <w:tcPr>
            <w:tcW w:type="dxa" w:w="646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Mes Azul IDMA</w:t>
            </w:r>
          </w:p>
        </w:tc>
      </w:tr>
      <w:tr>
        <w:tc>
          <w:tcPr>
            <w:tcW w:type="dxa" w:w="29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País / Institución</w:t>
            </w:r>
          </w:p>
        </w:tc>
        <w:tc>
          <w:tcPr>
            <w:tcW w:type="dxa" w:w="646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Chile · IDMA (sede CTS Buin)</w:t>
            </w:r>
          </w:p>
        </w:tc>
      </w:tr>
      <w:tr>
        <w:tc>
          <w:tcPr>
            <w:tcW w:type="dxa" w:w="29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Contacto</w:t>
            </w:r>
          </w:p>
        </w:tc>
        <w:tc>
          <w:tcPr>
            <w:tcW w:type="dxa" w:w="646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[Paola Cerda — logística] · [Víctor Bravo — curatoría de charlas] · Javiera Núñez (puente científico)</w:t>
            </w:r>
          </w:p>
        </w:tc>
      </w:tr>
      <w:tr>
        <w:tc>
          <w:tcPr>
            <w:tcW w:type="dxa" w:w="29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Año / Semestre</w:t>
            </w:r>
          </w:p>
        </w:tc>
        <w:tc>
          <w:tcPr>
            <w:tcW w:type="dxa" w:w="646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2026 (ciclo de mentorías junio 2026)</w:t>
            </w:r>
          </w:p>
        </w:tc>
      </w:tr>
      <w:tr>
        <w:tc>
          <w:tcPr>
            <w:tcW w:type="dxa" w:w="29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Nivel</w:t>
            </w:r>
          </w:p>
        </w:tc>
        <w:tc>
          <w:tcPr>
            <w:tcW w:type="dxa" w:w="646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Extracurricular / sensibilización + curso certificable (educación continua)</w:t>
            </w:r>
          </w:p>
        </w:tc>
      </w:tr>
      <w:tr>
        <w:tc>
          <w:tcPr>
            <w:tcW w:type="dxa" w:w="29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Contexto</w:t>
            </w:r>
          </w:p>
        </w:tc>
        <w:tc>
          <w:tcPr>
            <w:tcW w:type="dxa" w:w="646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Costero y territorial; jornada presencial + componentes online (cobertura nacional)</w:t>
            </w:r>
          </w:p>
        </w:tc>
      </w:tr>
      <w:tr>
        <w:tc>
          <w:tcPr>
            <w:tcW w:type="dxa" w:w="29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Áreas clave</w:t>
            </w:r>
          </w:p>
        </w:tc>
        <w:tc>
          <w:tcPr>
            <w:tcW w:type="dxa" w:w="646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Cultura oceánica, ciudadanía azul, vinculación academia–empresa, empleabilidad</w:t>
            </w:r>
          </w:p>
        </w:tc>
      </w:tr>
      <w:tr>
        <w:tc>
          <w:tcPr>
            <w:tcW w:type="dxa" w:w="29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shd w:fill="F2F6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ODS (≤3)</w:t>
            </w:r>
          </w:p>
        </w:tc>
        <w:tc>
          <w:tcPr>
            <w:tcW w:type="dxa" w:w="646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ODS 4 (Educación de calidad), ODS 8 (Trabajo decente), ODS 17 (Alianzas)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1) Problema / oportunidad</w:t>
      </w:r>
    </w:p>
    <w:p>
      <w:pPr>
        <w:spacing w:after="120" w:line="276"/>
      </w:pPr>
      <w:r>
        <w:t xml:space="preserve">La hipótesis del piloto, validada en la Mentoría 1, es la </w:t>
      </w:r>
      <w:r>
        <w:rPr>
          <w:b/>
          <w:bCs/>
        </w:rPr>
        <w:t xml:space="preserve">falta de vinculación entre academia, empresa y sector productivo de la economía azul</w:t>
      </w:r>
      <w:r>
        <w:t xml:space="preserve">. Para el técnico profesional, esa desconexión se traduce en inestabilidad laboral, ausencia de redes locales y dificultad para que su formación sea valorada.</w:t>
      </w:r>
    </w:p>
    <w:p>
      <w:pPr>
        <w:spacing w:after="120" w:line="276"/>
      </w:pPr>
      <w:r>
        <w:t xml:space="preserve">La lectura comparada con Colombia (Jessica Morales, Uniminuto) confirma el problema con tres factores: pertinencia curricular insuficiente, fragmentación de la política pública y dificultad de transferir el conocimiento de la academia al sector productivo.</w:t>
      </w:r>
    </w:p>
    <w:p>
      <w:pPr>
        <w:pStyle w:val="Heading1"/>
      </w:pPr>
      <w:r>
        <w:t xml:space="preserve">2) Objetivos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Vincular a la academia con las empresas y el sector productivo de la economía azul.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Posicionar a IDMA y a los centros de formación técnica como referentes nacionales, instalando un hito anual reconocido por el sector.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Acercar la cultura oceánica y la ciudadanía azul a la comunidad mediante una feria abierta.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Generar vinculaciones concretas estudiante–empresa y rutas de continuidad formativa.</w:t>
      </w:r>
    </w:p>
    <w:p>
      <w:pPr>
        <w:pStyle w:val="Heading1"/>
      </w:pPr>
      <w:r>
        <w:t xml:space="preserve">3) Población objetivo y actores</w:t>
      </w:r>
    </w:p>
    <w:p>
      <w:pPr>
        <w:spacing w:after="120" w:line="276"/>
      </w:pPr>
      <w:r>
        <w:t xml:space="preserve"/>
      </w:r>
      <w:r>
        <w:rPr>
          <w:b/>
          <w:bCs/>
        </w:rPr>
        <w:t xml:space="preserve">Usuario principal — arquetipo “Pedro”:</w:t>
      </w:r>
      <w:r>
        <w:t xml:space="preserve"> técnico profesional de 20 a 30 años, que trabaja de forma independiente o busca su primer empleo formal; busca especialización práctica, red de contactos y claridad sobre su continuidad formativa.</w:t>
      </w:r>
    </w:p>
    <w:p>
      <w:pPr>
        <w:spacing w:after="120" w:line="276"/>
      </w:pPr>
      <w:r>
        <w:t xml:space="preserve"/>
      </w:r>
      <w:r>
        <w:rPr>
          <w:b/>
          <w:bCs/>
        </w:rPr>
        <w:t xml:space="preserve">Audiencias complementarias:</w:t>
      </w:r>
      <w:r>
        <w:t xml:space="preserve"> estudiantes y titulados IDMA; empresas y startups del sector; trabajadores de oficio (pescadores artesanales, mariscadores); comunidades escolares que llegan vía Guardianes del Agua; y público general.</w:t>
      </w:r>
    </w:p>
    <w:p>
      <w:pPr>
        <w:spacing w:after="120" w:line="276"/>
      </w:pPr>
      <w:r>
        <w:t xml:space="preserve"/>
      </w:r>
      <w:r>
        <w:rPr>
          <w:b/>
          <w:bCs/>
        </w:rPr>
        <w:t xml:space="preserve">Mentores y equipo:</w:t>
      </w:r>
      <w:r>
        <w:t xml:space="preserve"> Jessica Morales (Uniminuto, M2), Sebastián Gallardo (U. de Antofagasta, M4); equipo IDMA: Paola Cerda, Víctor Bravo y Javiera Núñez.</w:t>
      </w:r>
    </w:p>
    <w:p>
      <w:pPr>
        <w:pStyle w:val="Heading1"/>
      </w:pPr>
      <w:r>
        <w:t xml:space="preserve">4) Enfoque y metodología</w:t>
      </w:r>
    </w:p>
    <w:p>
      <w:pPr>
        <w:spacing w:after="120" w:line="276"/>
      </w:pPr>
      <w:r>
        <w:t xml:space="preserve">El Mes Azul es un </w:t>
      </w:r>
      <w:r>
        <w:rPr>
          <w:b/>
          <w:bCs/>
        </w:rPr>
        <w:t xml:space="preserve">programa mensual</w:t>
      </w:r>
      <w:r>
        <w:t xml:space="preserve"> que combina un ciclo de charlas tipo TED y contenidos digitales distribuidos a lo largo del mes, con una </w:t>
      </w:r>
      <w:r>
        <w:rPr>
          <w:b/>
          <w:bCs/>
        </w:rPr>
        <w:t xml:space="preserve">jornada de cierre</w:t>
      </w:r>
      <w:r>
        <w:t xml:space="preserve"> que articula seminario, feria de emprendimientos y dinámicas participativas. Premisa transversal: toda oferta presencial tiene su versión online (doble canal), para asegurar acceso desde todo Chile.</w:t>
      </w:r>
    </w:p>
    <w:p>
      <w:pPr>
        <w:spacing w:after="120" w:line="276"/>
      </w:pPr>
      <w:r>
        <w:t xml:space="preserve">Se diseña bajo el enfoque de microcredenciales (MBMC) y recoge el modelo multimodal de Uniminuto (presencial / a distancia / 100 % virtual) y las tarifas diferenciadas por territorio.</w:t>
      </w:r>
    </w:p>
    <w:p>
      <w:pPr>
        <w:pStyle w:val="Heading1"/>
      </w:pPr>
      <w:r>
        <w:t xml:space="preserve">5) Actividades principales</w:t>
      </w:r>
    </w:p>
    <w:p>
      <w:pPr>
        <w:spacing w:after="120" w:line="276"/>
      </w:pPr>
      <w:r>
        <w:t xml:space="preserve">Componentes del programa (consolidados en la sesión M2–M3):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Feria presencial de economía azul (evento de cierre) en sede CTS Buin, con stands de tecnologías del sector.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Entrada inmersiva (muestra fotográfica + montaje informativo).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Ciclo de 6 charlas tipo TED (ciencia · gestión pública · comunidad y territorio).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Seminario + feria de emprendimientos; talleres prácticos en las instalaciones de CTS Buin.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Curso con certificación OTEC IDMA (doble modalidad) — tangible principal para el participante.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Cápsulas y contenido digital (Class on Live); rueda de vinculación y merchandising educativo.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Muestra de proyectos escolares de Guardianes del Agua (articula ambos pilotos del WP3).</w:t>
      </w:r>
    </w:p>
    <w:p>
      <w:pPr>
        <w:pStyle w:val="Heading1"/>
      </w:pPr>
      <w:r>
        <w:t xml:space="preserve">6) Recursos utilizados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Sede CTS Buin (planta de tratamiento, huertos, estaciones interactivas) y plan de traslado (Metrotren / van).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Plataforma Class on Live para onboarding, cápsulas y registro.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Red de auspicios (empresas con RSE) y línea de becas (inspirada en Uniminuto).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Equipo IDMA (logística, curatoría de charlas, contenido científico).</w:t>
      </w:r>
    </w:p>
    <w:p>
      <w:pPr>
        <w:pStyle w:val="Heading1"/>
      </w:pPr>
      <w:r>
        <w:t xml:space="preserve">7) Competencias trabajadas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Vinculación y networking profesional con el sector productivo.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Divulgación y comunicación de la economía azul a públicos diversos.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Emprendimiento e innovación azul.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Alfabetización oceánica y ciudadanía ambiental.</w:t>
      </w:r>
    </w:p>
    <w:p>
      <w:pPr>
        <w:pStyle w:val="Heading1"/>
      </w:pPr>
      <w:r>
        <w:t xml:space="preserve">8) Resultados y evidencias</w:t>
      </w:r>
    </w:p>
    <w:p>
      <w:pPr>
        <w:spacing w:after="120" w:line="276"/>
      </w:pPr>
      <w:r>
        <w:t xml:space="preserve"/>
      </w:r>
      <w:r>
        <w:rPr>
          <w:b/>
          <w:bCs/>
        </w:rPr>
        <w:t xml:space="preserve">Productos:</w:t>
      </w:r>
      <w:r>
        <w:t xml:space="preserve"> propuesta de solución </w:t>
      </w:r>
      <w:r>
        <w:rPr>
          <w:b/>
          <w:bCs/>
        </w:rPr>
        <w:t xml:space="preserve">v0.8</w:t>
      </w:r>
      <w:r>
        <w:t xml:space="preserve"> (programa del Mes Azul), Canvas MicroVET, y un set de </w:t>
      </w:r>
      <w:r>
        <w:rPr>
          <w:b/>
          <w:bCs/>
        </w:rPr>
        <w:t xml:space="preserve">KPIs de continuidad</w:t>
      </w:r>
      <w:r>
        <w:t xml:space="preserve"> para la versión anual.</w:t>
      </w:r>
    </w:p>
    <w:p>
      <w:pPr>
        <w:spacing w:after="120" w:line="276"/>
      </w:pPr>
      <w:r>
        <w:t xml:space="preserve"/>
      </w:r>
      <w:r>
        <w:rPr>
          <w:b/>
          <w:bCs/>
        </w:rPr>
        <w:t xml:space="preserve">Resultados / aportes (M4, Sebastián Gallardo):</w:t>
      </w:r>
      <w:r>
        <w:t xml:space="preserve"> criterios para el diseño de la feria (actores a convocar, ferias de referencia, enfoque temático y de bajo umbral, estrategia de alcance, costos de referencia ~$30M en Antofagasta, sedes y auspicios).</w:t>
      </w:r>
    </w:p>
    <w:p>
      <w:pPr>
        <w:spacing w:after="120" w:line="276"/>
      </w:pPr>
      <w:r>
        <w:t xml:space="preserve"/>
      </w:r>
      <w:r>
        <w:rPr>
          <w:b/>
          <w:bCs/>
        </w:rPr>
        <w:t xml:space="preserve">KPIs definidos:</w:t>
      </w:r>
      <w:r>
        <w:t xml:space="preserve"> alcance online; nº de empresas y stands; vinculaciones estudiante–empresa; alcance de los proyectos escolares de Guardianes; auspicios y becas comprometidos.</w:t>
      </w:r>
    </w:p>
    <w:p>
      <w:pPr>
        <w:pStyle w:val="Heading1"/>
      </w:pPr>
      <w:r>
        <w:t xml:space="preserve">9) Evaluación (instrumentos y síntesis)</w:t>
      </w:r>
    </w:p>
    <w:p>
      <w:pPr>
        <w:spacing w:after="120" w:line="276"/>
      </w:pPr>
      <w:r>
        <w:t xml:space="preserve">Evaluación con la </w:t>
      </w:r>
      <w:r>
        <w:rPr>
          <w:b/>
          <w:bCs/>
        </w:rPr>
        <w:t xml:space="preserve">rúbrica T3.3</w:t>
      </w:r>
      <w:r>
        <w:t xml:space="preserve"> (8 criterios, umbral 80 %). Asignación cruzada del consorcio para el Mes Azul: </w:t>
      </w:r>
      <w:r>
        <w:rPr>
          <w:b/>
          <w:bCs/>
        </w:rPr>
        <w:t xml:space="preserve">Mil y un mentorías + UNIMINUTO</w:t>
      </w:r>
      <w:r>
        <w:t xml:space="preserve">.</w:t>
      </w:r>
    </w:p>
    <w:p>
      <w:pPr>
        <w:spacing w:after="120" w:line="276"/>
      </w:pPr>
      <w:r>
        <w:t xml:space="preserve">Testeo propio: Experimento 1 — entrevista a Aldo Poblete (voz del sector, validada); Experimento 2 — focus group conducido por Víctor Bravo con estudiantes del perfil de Pedro.</w:t>
      </w:r>
    </w:p>
    <w:p>
      <w:pPr>
        <w:pStyle w:val="Heading1"/>
      </w:pPr>
      <w:r>
        <w:t xml:space="preserve">10) Lecciones aprendidas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Es difícil unificar a todos los actores en una sola instancia (pesca artesanal, industria, IFOP, Armada, sindicatos, ONG): conviene una feria temática que responda a problemáticas reales y locales.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Lo presencial/terreno (concepto “maritorio”) es crucial y poco habitual; actividades de bajo umbral funcionan mejor.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Conviene comparar “un gran evento” vs “muchos colegios con actividad lista” para maximizar alcance.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Los auspicios se consiguen a cambio de cobertura/registro de asistencia y un stand propio.</w:t>
      </w:r>
    </w:p>
    <w:p>
      <w:pPr>
        <w:pStyle w:val="Heading1"/>
      </w:pPr>
      <w:r>
        <w:t xml:space="preserve">11) Transferibilidad y sostenibilidad</w:t>
      </w:r>
    </w:p>
    <w:p>
      <w:pPr>
        <w:spacing w:after="120" w:line="276"/>
      </w:pPr>
      <w:r>
        <w:t xml:space="preserve">El Mes Azul se concibe como </w:t>
      </w:r>
      <w:r>
        <w:rPr>
          <w:b/>
          <w:bCs/>
        </w:rPr>
        <w:t xml:space="preserve">programa anual replicable</w:t>
      </w:r>
      <w:r>
        <w:t xml:space="preserve"> y referente nacional, con proyección de cooperación regional Chile–Colombia (Uniminuto). Se propone formalizar un </w:t>
      </w:r>
      <w:r>
        <w:rPr>
          <w:b/>
          <w:bCs/>
        </w:rPr>
        <w:t xml:space="preserve">convenio de colaboración con la U. de Antofagasta</w:t>
      </w:r>
      <w:r>
        <w:t xml:space="preserve"> (Sebastián Gallardo / red CTS).</w:t>
      </w:r>
    </w:p>
    <w:p>
      <w:pPr>
        <w:spacing w:after="120" w:line="276"/>
      </w:pPr>
      <w:r>
        <w:t xml:space="preserve">Requisitos de réplica: una sede con flujo, una red de auspicios/becas y la articulación con un piloto escolar (Guardianes) que aporte la muestra.</w:t>
      </w:r>
    </w:p>
    <w:p>
      <w:pPr>
        <w:pStyle w:val="Heading1"/>
      </w:pPr>
      <w:r>
        <w:t xml:space="preserve">12) Riesgos y mitigaciones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Costos de la feria (~$30M en Antofagasta, según referencia de C-TyS) — mitigación: auspicios en especie y modelo escalable por colegios.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Convocatoria y unificación de actores — mitigación: enfoque temático y alianzas locales (municipios, gremios).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Logística de traslado a CTS Buin — mitigación: Metrotren y van institucional.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Secciones de logística y curatoría aún [PENDIENTE] (Paola, Víctor) — mitigación: plazos antes de la M4.</w:t>
      </w:r>
    </w:p>
    <w:p>
      <w:pPr>
        <w:pStyle w:val="Heading1"/>
      </w:pPr>
      <w:r>
        <w:t xml:space="preserve">13) Uso en la Academia (M1–M4)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M1 (economía azul): entrada inmersiva y charlas de ciencia.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M2 (empleos / skills): curso certificable OTEC y rueda de vinculación.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M3 (ABP): muestra de proyectos escolares de Guardianes del Agua.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M4 (liderazgo): seminario, dinámicas participativas y articulación de actores.</w:t>
      </w:r>
    </w:p>
    <w:p>
      <w:pPr>
        <w:pStyle w:val="Heading1"/>
      </w:pPr>
      <w:r>
        <w:t xml:space="preserve">14) Referencias y créditos</w:t>
      </w:r>
    </w:p>
    <w:p>
      <w:pPr>
        <w:spacing w:after="120" w:line="276"/>
      </w:pPr>
      <w:r>
        <w:t xml:space="preserve">Fuentes: documento de solución “Mes Azul IDMA” v0.8 (IDMA, 2026); voces expertas Jessica Morales (Uniminuto), Aldo Poblete y Sebastián Gallardo (U. de Antofagasta).</w:t>
      </w:r>
    </w:p>
    <w:p>
      <w:pPr>
        <w:spacing w:after="120" w:line="276"/>
      </w:pPr>
      <w:r>
        <w:t xml:space="preserve">Créditos: equipo WP3 IDMA. Licencia sugerida: CC BY 4.0. Proyecto Erasmus+ N.º 101183250.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242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0E7C8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6242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A72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2026-06-22T13:28:45.353Z</dcterms:created>
  <dcterms:modified xsi:type="dcterms:W3CDTF">2026-06-22T13:28:45.353Z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