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aps/>
          <w:color w:val="0E7C86"/>
          <w:sz w:val="22"/>
          <w:szCs w:val="22"/>
        </w:rPr>
        <w:t xml:space="preserve">Caso de Estudio · WP3 / Academia</w:t>
      </w:r>
    </w:p>
    <w:p>
      <w:pPr>
        <w:spacing w:after="60"/>
      </w:pPr>
      <w:r>
        <w:rPr>
          <w:b/>
          <w:bCs/>
          <w:color w:val="16242F"/>
          <w:sz w:val="52"/>
          <w:szCs w:val="52"/>
        </w:rPr>
        <w:t xml:space="preserve">Guardianes del Agua</w:t>
      </w:r>
    </w:p>
    <w:p>
      <w:pPr>
        <w:spacing w:after="200"/>
      </w:pPr>
      <w:r>
        <w:rPr>
          <w:i/>
          <w:iCs/>
          <w:color w:val="5A7280"/>
          <w:sz w:val="28"/>
          <w:szCs w:val="28"/>
        </w:rPr>
        <w:t xml:space="preserve">Piloto 3 · Educación ambiental escolar para la gestión hídrica costera</w:t>
      </w:r>
    </w:p>
    <w:p>
      <w:pPr>
        <w:pBdr>
          <w:bottom w:val="single" w:color="0E7C86" w:sz="8" w:space="2"/>
        </w:pBdr>
        <w:spacing w:after="160"/>
      </w:pPr>
      <w:r>
        <w:t xml:space="preserve"/>
      </w:r>
    </w:p>
    <w:p>
      <w:pPr>
        <w:spacing w:after="120" w:line="276"/>
      </w:pPr>
      <w:r>
        <w:rPr>
          <w:color w:val="5A7280"/>
        </w:rPr>
        <w:t xml:space="preserve"/>
      </w:r>
      <w:r>
        <w:rPr>
          <w:b/>
          <w:bCs/>
          <w:color w:val="5A7280"/>
        </w:rPr>
        <w:t xml:space="preserve">Blue Economy Lab</w:t>
      </w:r>
      <w:r>
        <w:rPr>
          <w:color w:val="5A7280"/>
        </w:rPr>
        <w:t xml:space="preserve"> · WP3 · IDMA · Proyecto Erasmus+ N.º 101183250</w:t>
      </w:r>
    </w:p>
    <w:p>
      <w:pPr>
        <w:spacing w:after="120" w:line="276"/>
      </w:pPr>
      <w:r>
        <w:rPr>
          <w:color w:val="5A7280"/>
        </w:rPr>
        <w:t xml:space="preserve">Versión 1 · borrador — 22 de junio de 2026</w:t>
      </w:r>
    </w:p>
    <w:p>
      <w:pPr>
        <w:spacing w:after="0" w:before="120"/>
      </w:pPr>
      <w:r>
        <w:rPr>
          <w:i/>
          <w:iCs/>
          <w:color w:val="5A7280"/>
          <w:sz w:val="18"/>
          <w:szCs w:val="18"/>
        </w:rPr>
        <w:t xml:space="preserve">Documento generado como primera versión a partir de la evidencia del repositorio “WP3 Respaldo Ordenado”. Los datos entre [corchetes] quedan pendientes de confirmar por el equipo.</w:t>
      </w:r>
    </w:p>
    <w:p>
      <w:r>
        <w:br w:type="page"/>
      </w:r>
    </w:p>
    <w:p>
      <w:pPr>
        <w:pStyle w:val="Heading2"/>
      </w:pPr>
      <w:r>
        <w:t xml:space="preserve">Metadatos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Título corto</w:t>
            </w:r>
          </w:p>
        </w:tc>
        <w:tc>
          <w:tcPr>
            <w:tcW w:type="dxa" w:w="64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Guardianes del Agua</w:t>
            </w:r>
          </w:p>
        </w:tc>
      </w:tr>
      <w:tr>
        <w:tc>
          <w:tcPr>
            <w:tcW w:type="dxa" w:w="29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País / Institución</w:t>
            </w:r>
          </w:p>
        </w:tc>
        <w:tc>
          <w:tcPr>
            <w:tcW w:type="dxa" w:w="64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Chile · IDMA (Antofagasta y Mejillones)</w:t>
            </w:r>
          </w:p>
        </w:tc>
      </w:tr>
      <w:tr>
        <w:tc>
          <w:tcPr>
            <w:tcW w:type="dxa" w:w="29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Contacto</w:t>
            </w:r>
          </w:p>
        </w:tc>
        <w:tc>
          <w:tcPr>
            <w:tcW w:type="dxa" w:w="64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[Ada Calderón — insumos y carta de colaboración] · Javiera Núñez (contenido científico)</w:t>
            </w:r>
          </w:p>
        </w:tc>
      </w:tr>
      <w:tr>
        <w:tc>
          <w:tcPr>
            <w:tcW w:type="dxa" w:w="29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Año / Semestre</w:t>
            </w:r>
          </w:p>
        </w:tc>
        <w:tc>
          <w:tcPr>
            <w:tcW w:type="dxa" w:w="64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2026 (ciclo de mentorías junio 2026)</w:t>
            </w:r>
          </w:p>
        </w:tc>
      </w:tr>
      <w:tr>
        <w:tc>
          <w:tcPr>
            <w:tcW w:type="dxa" w:w="29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Nivel</w:t>
            </w:r>
          </w:p>
        </w:tc>
        <w:tc>
          <w:tcPr>
            <w:tcW w:type="dxa" w:w="64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Educación básica (foco 4°–6°), mediada por el docente formador</w:t>
            </w:r>
          </w:p>
        </w:tc>
      </w:tr>
      <w:tr>
        <w:tc>
          <w:tcPr>
            <w:tcW w:type="dxa" w:w="29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Contexto</w:t>
            </w:r>
          </w:p>
        </w:tc>
        <w:tc>
          <w:tcPr>
            <w:tcW w:type="dxa" w:w="64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Costero (zona norte, Corriente de Humboldt); comunidades escolares</w:t>
            </w:r>
          </w:p>
        </w:tc>
      </w:tr>
      <w:tr>
        <w:tc>
          <w:tcPr>
            <w:tcW w:type="dxa" w:w="29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Áreas clave</w:t>
            </w:r>
          </w:p>
        </w:tc>
        <w:tc>
          <w:tcPr>
            <w:tcW w:type="dxa" w:w="64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Alfabetización oceánica, gestión hídrica, educación ambiental, ABP</w:t>
            </w:r>
          </w:p>
        </w:tc>
      </w:tr>
      <w:tr>
        <w:tc>
          <w:tcPr>
            <w:tcW w:type="dxa" w:w="29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ODS (≤3)</w:t>
            </w:r>
          </w:p>
        </w:tc>
        <w:tc>
          <w:tcPr>
            <w:tcW w:type="dxa" w:w="64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ODS 4 (Educación de calidad), ODS 6 (Agua limpia), ODS 14 (Vida submarina)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1) Problema / oportunidad</w:t>
      </w:r>
    </w:p>
    <w:p>
      <w:pPr>
        <w:spacing w:after="120" w:line="276"/>
      </w:pPr>
      <w:r>
        <w:t xml:space="preserve">El instructivo responde a una </w:t>
      </w:r>
      <w:r>
        <w:rPr>
          <w:b/>
          <w:bCs/>
        </w:rPr>
        <w:t xml:space="preserve">baja apropiación de los riesgos hídricos</w:t>
      </w:r>
      <w:r>
        <w:t xml:space="preserve"> en las comunidades escolares y a que los docentes, con buena disposición, pocas veces cuentan con herramientas listas para abordar la economía azul en el aula. El supuesto crítico: un marco metodológico aplicable y de bajo costo puede resolver esa brecha.</w:t>
      </w:r>
    </w:p>
    <w:p>
      <w:pPr>
        <w:spacing w:after="120" w:line="276"/>
      </w:pPr>
      <w:r>
        <w:t xml:space="preserve">En la zona norte, la Corriente de Humboldt hace de la costa una de las más productivas del mundo, con amenazas relevantes (salmuera de la desalación, actividad portuaria y metales pesados, microplásticos) que constituyen oportunidades educativas situadas.</w:t>
      </w:r>
    </w:p>
    <w:p>
      <w:pPr>
        <w:pStyle w:val="Heading1"/>
      </w:pPr>
      <w:r>
        <w:t xml:space="preserve">2) Objetivos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Que los estudiantes transformen una problemática hídrica real de su territorio en una propuesta de participación para el Mes Azul.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Dejar capacidades instaladas en los docentes (“formar formadores”) mediante una metodología ABP lista para usar.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Articular la comunidad escolar con la economía azul y la feria del Mes Azul.</w:t>
      </w:r>
    </w:p>
    <w:p>
      <w:pPr>
        <w:pStyle w:val="Heading1"/>
      </w:pPr>
      <w:r>
        <w:t xml:space="preserve">3) Población objetivo y actores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Destinatario directo:</w:t>
      </w:r>
      <w:r>
        <w:t xml:space="preserve"> el docente formador (arquetipo “Carolina”), que necesita herramientas listas, alineadas al currículum y útiles para la recertificación ambiental del colegio. Las niñas y niños (≈ 8–15 años, foco 4°–6° básico) son beneficiarios mediados por ese adulto, con los resguardos correspondientes.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Comunidades piloto:</w:t>
      </w:r>
      <w:r>
        <w:t xml:space="preserve"> Liceo La Chimba (Antofagasta) y Escuela María Angélica Elizondo Briceño (Mejillones).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Mentees y mentores:</w:t>
      </w:r>
      <w:r>
        <w:t xml:space="preserve"> mentees Tania Melin, Ada Calderón y Eimilyn Alquinta; mentora Javiera Núñez (M2); voz experta Sebastián Gallardo (C-TyS UA, M3); Sebastián Cerda (Vinculación con el Medio).</w:t>
      </w:r>
    </w:p>
    <w:p>
      <w:pPr>
        <w:pStyle w:val="Heading1"/>
      </w:pPr>
      <w:r>
        <w:t xml:space="preserve">4) Enfoque y metodología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Aprendizaje Basado en Proyectos (ABP):</w:t>
      </w:r>
      <w:r>
        <w:t xml:space="preserve"> los estudiantes investigan un problema real y construyen una respuesta propia; el docente acompaña y orienta. Estructura base: parte teórica (importancia del océano y amenazas) seguida de parte práctica (experimento/operativo).</w:t>
      </w:r>
    </w:p>
    <w:p>
      <w:pPr>
        <w:spacing w:after="120" w:line="276"/>
      </w:pPr>
      <w:r>
        <w:t xml:space="preserve">Metodología de muestreo de microplásticos según los </w:t>
      </w:r>
      <w:r>
        <w:rPr>
          <w:b/>
          <w:bCs/>
        </w:rPr>
        <w:t xml:space="preserve">“Científicos de la Basura”</w:t>
      </w:r>
      <w:r>
        <w:t xml:space="preserve"> (Martin Thiel, U. Católica del Norte; ciencia ciudadana, censo por playa). La economía azul se trabaja desde tres pilares: sostenibilidad, circularidad y biomímesis.</w:t>
      </w:r>
    </w:p>
    <w:p>
      <w:pPr>
        <w:pStyle w:val="Heading1"/>
      </w:pPr>
      <w:r>
        <w:t xml:space="preserve">5) Actividades principales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Ruta del proyecto (7 pasos):</w:t>
      </w:r>
      <w:r>
        <w:t xml:space="preserve"> preparación del docente → activación → elección de la problemática → investigación → diseño e implementación → compendio de resultados → presentación en el Mes Azul.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Decisión de alcance (MVP, M3):</w:t>
      </w:r>
      <w:r>
        <w:t xml:space="preserve"> la primera versión desarrolla a fondo </w:t>
      </w:r>
      <w:r>
        <w:rPr>
          <w:b/>
          <w:bCs/>
        </w:rPr>
        <w:t xml:space="preserve">una</w:t>
      </w:r>
      <w:r>
        <w:t xml:space="preserve"> actividad —el operativo de limpieza de playa—, que ya cuenta con metodología validada (Guía de Operativos para Monitores y Manual de Comisión Logística). El resto del banco de experimentos (Agua vs. sal, La casa de los plásticos, Vigilantes de la bahía, Turbidez) queda como propuestas a futuro.</w:t>
      </w:r>
    </w:p>
    <w:p>
      <w:pPr>
        <w:pStyle w:val="Heading1"/>
      </w:pPr>
      <w:r>
        <w:t xml:space="preserve">6) Recursos utilizados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Kit de materiales por taller (sacos, guantes, etc.) — presupuesto referencial: sacos ~$250 c/u; guantes ~$800; fruta ~$500/persona; más combustible/peaje si la actividad es en Mejillones [cifras a recalcular].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Guía de Operativos para Monitores (5 pasos) y Manual de Comisión Logística (insumos validados, Fundación Protección Oceánica).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Contenido científico y banco de experimentos ABP (Javiera Núñez).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Convenio de colaboración IDMA (Vinculación con el Medio) y financiamiento SENCE / ley REP.</w:t>
      </w:r>
    </w:p>
    <w:p>
      <w:pPr>
        <w:pStyle w:val="Heading1"/>
      </w:pPr>
      <w:r>
        <w:t xml:space="preserve">7) Competencias trabajadas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Conciencia ambiental y oceánica; conexión historia–territorio–océano.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Pensamiento crítico y resolución de problemas reales.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Ciencia ciudadana (muestreo, registro y análisis de datos).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Trabajo en equipo y agencia comunitaria.</w:t>
      </w:r>
    </w:p>
    <w:p>
      <w:pPr>
        <w:pStyle w:val="Heading1"/>
      </w:pPr>
      <w:r>
        <w:t xml:space="preserve">8) Resultados y evidencias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Productos:</w:t>
      </w:r>
      <w:r>
        <w:t xml:space="preserve"> instructivo escolar </w:t>
      </w:r>
      <w:r>
        <w:rPr>
          <w:b/>
          <w:bCs/>
        </w:rPr>
        <w:t xml:space="preserve">v7</w:t>
      </w:r>
      <w:r>
        <w:t xml:space="preserve"> (manual de capacitación docente), Canvas MicroVET, presentación M3/M4 y las guías de operativo y logística.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Resultado del testeo (validado):</w:t>
      </w:r>
      <w:r>
        <w:t xml:space="preserve"> se concretaron </w:t>
      </w:r>
      <w:r>
        <w:rPr>
          <w:b/>
          <w:bCs/>
        </w:rPr>
        <w:t xml:space="preserve">cartas de compromiso y colaboración</w:t>
      </w:r>
      <w:r>
        <w:t xml:space="preserve"> con el Liceo La Chimba y con la Escuela M. A. Elizondo Briceño (Mejillones).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Evidencia mínima por taller:</w:t>
      </w:r>
      <w:r>
        <w:t xml:space="preserve"> fotografía de registro, lista de asistencia e informe/comunicación del docente.</w:t>
      </w:r>
    </w:p>
    <w:p>
      <w:pPr>
        <w:pStyle w:val="Heading1"/>
      </w:pPr>
      <w:r>
        <w:t xml:space="preserve">9) Evaluación (instrumentos y síntesis)</w:t>
      </w:r>
    </w:p>
    <w:p>
      <w:pPr>
        <w:spacing w:after="120" w:line="276"/>
      </w:pPr>
      <w:r>
        <w:t xml:space="preserve">Evaluación con la </w:t>
      </w:r>
      <w:r>
        <w:rPr>
          <w:b/>
          <w:bCs/>
        </w:rPr>
        <w:t xml:space="preserve">rúbrica T3.3</w:t>
      </w:r>
      <w:r>
        <w:t xml:space="preserve"> (8 criterios, umbral 80 %). Asignación cruzada para Guardianes: </w:t>
      </w:r>
      <w:r>
        <w:rPr>
          <w:b/>
          <w:bCs/>
        </w:rPr>
        <w:t xml:space="preserve">UNIMINUTO + Mil y un mentorías</w:t>
      </w:r>
      <w:r>
        <w:t xml:space="preserve">.</w:t>
      </w:r>
    </w:p>
    <w:p>
      <w:pPr>
        <w:spacing w:after="120" w:line="276"/>
      </w:pPr>
      <w:r>
        <w:t xml:space="preserve">Testeo propio (M3): envío del instructivo a un coordinador escolar de la comunidad objetivo, buscando feedback y la carta de colaboración escuela–IDMA (lograda).</w:t>
      </w:r>
    </w:p>
    <w:p>
      <w:pPr>
        <w:pStyle w:val="Heading1"/>
      </w:pPr>
      <w:r>
        <w:t xml:space="preserve">10) Lecciones aprendidas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Conviene un MVP enfocado (una actividad bien resuelta) antes de abrir todo el banco de experimentos.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Orden pedagógico: importancia del océano → amenazas → operativo; no pasar directo a “océano = amenaza”.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Un problema ambiental “es problema” cuando hay una comunidad que lo percibe como negativo (Sebastián Cerda).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Los materiales deben llegar listos al docente (lógica de “kit de ciencias”); la principal barrera es económica.</w:t>
      </w:r>
    </w:p>
    <w:p>
      <w:pPr>
        <w:pStyle w:val="Heading1"/>
      </w:pPr>
      <w:r>
        <w:t xml:space="preserve">11) Transferibilidad y sostenibilidad</w:t>
      </w:r>
    </w:p>
    <w:p>
      <w:pPr>
        <w:spacing w:after="120" w:line="276"/>
      </w:pPr>
      <w:r>
        <w:t xml:space="preserve">El programa se engloba en un </w:t>
      </w:r>
      <w:r>
        <w:rPr>
          <w:b/>
          <w:bCs/>
        </w:rPr>
        <w:t xml:space="preserve">convenio de colaboración IDMA (Vinculación con el Medio)–comunidad escolar</w:t>
      </w:r>
      <w:r>
        <w:t xml:space="preserve">, repetible (p. ej. una vez al año), con un sitio web “Guardianes del Agua” para acumular actividades. La metodología funciona como </w:t>
      </w:r>
      <w:r>
        <w:rPr>
          <w:b/>
          <w:bCs/>
        </w:rPr>
        <w:t xml:space="preserve">“etiqueta blanca”</w:t>
      </w:r>
      <w:r>
        <w:t xml:space="preserve"> adaptable a otros colegios o a programas de RSE empresarial.</w:t>
      </w:r>
    </w:p>
    <w:p>
      <w:pPr>
        <w:spacing w:after="120" w:line="276"/>
      </w:pPr>
      <w:r>
        <w:t xml:space="preserve">Financiamiento de continuidad: franquicia tributaria SENCE y venta directa a empresas (ley REP / RSE).</w:t>
      </w:r>
    </w:p>
    <w:p>
      <w:pPr>
        <w:pStyle w:val="Heading1"/>
      </w:pPr>
      <w:r>
        <w:t xml:space="preserve">12) Riesgos y mitigaciones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Barrera económica (horas docentes, materiales, traslados) — mitigación: kit de bajo costo y auspicios (COPEC / RSE).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Resguardos con menores (inhabilidades, autorizaciones, supervisión) — mitigación: protocolo obligatorio del manual.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Permisos para manipular organismos (Sernapesca / SAG) — mitigación: solo invertebrados menores y resguardos.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Voluntad de autoridades — mitigación: cartas de colaboración y articulación con el PEI / recertificación ambiental.</w:t>
      </w:r>
    </w:p>
    <w:p>
      <w:pPr>
        <w:pStyle w:val="Heading1"/>
      </w:pPr>
      <w:r>
        <w:t xml:space="preserve">13) Uso en la Academia (M1–M4)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M1 (economía azul): pilares (sostenibilidad, circularidad, biomímesis) y rol del océano.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M2 (empleos / skills): ciencia ciudadana y vínculo con actores locales.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M3 (ABP): operativo de limpieza de playa y banco de experimentos.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M4 (liderazgo): compendio de resultados y presentación en la feria del Mes Azul.</w:t>
      </w:r>
    </w:p>
    <w:p>
      <w:pPr>
        <w:pStyle w:val="Heading1"/>
      </w:pPr>
      <w:r>
        <w:t xml:space="preserve">14) Referencias y créditos</w:t>
      </w:r>
    </w:p>
    <w:p>
      <w:pPr>
        <w:spacing w:after="120" w:line="276"/>
      </w:pPr>
      <w:r>
        <w:t xml:space="preserve">Fuentes: instructivo escolar “Guardianes del Agua” v7 (IDMA, 2026); entrevistas a Ada Calderón y Eimilyn Alquinta; metodología “Científicos de la Basura” (Martin Thiel, UCN).</w:t>
      </w:r>
    </w:p>
    <w:p>
      <w:pPr>
        <w:spacing w:after="120" w:line="276"/>
      </w:pPr>
      <w:r>
        <w:t xml:space="preserve">Créditos: equipo WP3 IDMA. Licencia sugerida: CC BY 4.0. Proyecto Erasmus+ N.º 101183250.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42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E7C8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6242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A72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2026-06-22T13:28:45.388Z</dcterms:created>
  <dcterms:modified xsi:type="dcterms:W3CDTF">2026-06-22T13:28:45.388Z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