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aps/>
          <w:color w:val="0E7C86"/>
          <w:sz w:val="22"/>
          <w:szCs w:val="22"/>
        </w:rPr>
        <w:t xml:space="preserve">Informe de Casos de Estudio · WP3</w:t>
      </w:r>
    </w:p>
    <w:p>
      <w:pPr>
        <w:spacing w:after="60"/>
      </w:pPr>
      <w:r>
        <w:rPr>
          <w:b/>
          <w:bCs/>
          <w:color w:val="16242F"/>
          <w:sz w:val="52"/>
          <w:szCs w:val="52"/>
        </w:rPr>
        <w:t xml:space="preserve">Casos de Estudio de los Pilotos IDMA</w:t>
      </w:r>
    </w:p>
    <w:p>
      <w:pPr>
        <w:spacing w:after="200"/>
      </w:pPr>
      <w:r>
        <w:rPr>
          <w:i/>
          <w:iCs/>
          <w:color w:val="5A7280"/>
          <w:sz w:val="28"/>
          <w:szCs w:val="28"/>
        </w:rPr>
        <w:t xml:space="preserve">Compilation Report — Work Package 3 · Blue Economy Lab</w:t>
      </w:r>
    </w:p>
    <w:p>
      <w:pPr>
        <w:pBdr>
          <w:bottom w:val="single" w:color="0E7C86" w:sz="8" w:space="2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A7280"/>
        </w:rPr>
        <w:t xml:space="preserve"/>
      </w:r>
      <w:r>
        <w:rPr>
          <w:b/>
          <w:bCs/>
          <w:color w:val="5A7280"/>
        </w:rPr>
        <w:t xml:space="preserve">Blue Economy Lab</w:t>
      </w:r>
      <w:r>
        <w:rPr>
          <w:color w:val="5A7280"/>
        </w:rPr>
        <w:t xml:space="preserve"> · WP3 · IDMA · Proyecto Erasmus+ N.º 101183250</w:t>
      </w:r>
    </w:p>
    <w:p>
      <w:pPr>
        <w:spacing w:after="120" w:line="276"/>
      </w:pPr>
      <w:r>
        <w:rPr>
          <w:color w:val="5A7280"/>
        </w:rPr>
        <w:t xml:space="preserve">Versión 1 · borrador — 22 de junio de 2026</w:t>
      </w:r>
    </w:p>
    <w:p>
      <w:pPr>
        <w:spacing w:after="0" w:before="120"/>
      </w:pPr>
      <w:r>
        <w:rPr>
          <w:i/>
          <w:iCs/>
          <w:color w:val="5A7280"/>
          <w:sz w:val="18"/>
          <w:szCs w:val="18"/>
        </w:rPr>
        <w:t xml:space="preserve">Documento generado como primera versión a partir de la evidencia del repositorio “WP3 Respaldo Ordenado”. Los datos entre [corchetes] quedan pendientes de confirmar por el equipo.</w:t>
      </w:r>
    </w:p>
    <w:p>
      <w:r>
        <w:br w:type="page"/>
      </w:r>
    </w:p>
    <w:p>
      <w:pPr>
        <w:pStyle w:val="Heading1"/>
      </w:pPr>
      <w:r>
        <w:t xml:space="preserve">1. Presentación</w:t>
      </w:r>
    </w:p>
    <w:p>
      <w:pPr>
        <w:spacing w:after="120" w:line="276"/>
      </w:pPr>
      <w:r>
        <w:t xml:space="preserve">El Blue Economy Lab es un proyecto Erasmus+ de cooperación internacional que articula actores de educación, ciencia, industria y comunidad para promover la innovación educativa y el desarrollo sostenible desde la economía azul. El presente documento corresponde al </w:t>
      </w:r>
      <w:r>
        <w:rPr>
          <w:b/>
          <w:bCs/>
        </w:rPr>
        <w:t xml:space="preserve">Informe de Casos de Estudio</w:t>
      </w:r>
      <w:r>
        <w:t xml:space="preserve"> de los pilotos desarrollados por IDMA en el marco del </w:t>
      </w:r>
      <w:r>
        <w:rPr>
          <w:b/>
          <w:bCs/>
        </w:rPr>
        <w:t xml:space="preserve">Work Package 3 (WP3): diseño y ejecución de pilotos</w:t>
      </w:r>
      <w:r>
        <w:t xml:space="preserve">.</w:t>
      </w:r>
    </w:p>
    <w:p>
      <w:pPr>
        <w:spacing w:after="120" w:line="276"/>
      </w:pPr>
      <w:r>
        <w:t xml:space="preserve">Su objetivo es documentar, sistematizar y analizar los tres pilotos educativos de IDMA —Diplomado en Economía Azul, Mes Azul y Guardianes del Agua— como experiencias formativas vinculadas a la economía azul y al desarrollo de competencias para territorios marino-costeros. El informe se articula con la evaluación cruzada (T3.3) y con el enfoque de microcredenciales del proyecto.</w:t>
      </w:r>
    </w:p>
    <w:p>
      <w:pPr>
        <w:pStyle w:val="Heading1"/>
      </w:pPr>
      <w:r>
        <w:t xml:space="preserve">2. Contexto general del proyecto Erasmus+ Blue Economy</w:t>
      </w:r>
    </w:p>
    <w:p>
      <w:pPr>
        <w:spacing w:after="120" w:line="276"/>
      </w:pPr>
      <w:r>
        <w:t xml:space="preserve">La economía azul regenerativa se ha consolidado como un enfoque estratégico para el desarrollo sostenible en territorios costeros, integrando la protección de los ecosistemas oceánicos con oportunidades económicas, sociales y educativas, en línea con los ODS (4, 8, 12, 13 y 14) y la alfabetización oceánica (COI-UNESCO).</w:t>
      </w:r>
    </w:p>
    <w:p>
      <w:pPr>
        <w:spacing w:after="120" w:line="276"/>
      </w:pPr>
      <w:r>
        <w:t xml:space="preserve">El proyecto fortalece las capacidades de proveedores de educación y formación técnica en Chile y Colombia, promoviendo la integración de competencias verdes y azules, el pensamiento sistémico y la alfabetización oceánica. El consorcio reúne a IDMA y Mil y un mentorías (Chile), UNIMINUTO (Colombia) y los socios europeos 2811, DomSpain y Weltweit. Proyecto Erasmus+ N.º 101183250.</w:t>
      </w:r>
    </w:p>
    <w:p>
      <w:pPr>
        <w:pStyle w:val="Heading1"/>
      </w:pPr>
      <w:r>
        <w:t xml:space="preserve">3. Metodología de sistematización</w:t>
      </w:r>
    </w:p>
    <w:p>
      <w:pPr>
        <w:pStyle w:val="Heading2"/>
      </w:pPr>
      <w:r>
        <w:t xml:space="preserve">3.1 Estrategia de recopilación</w:t>
      </w:r>
    </w:p>
    <w:p>
      <w:pPr>
        <w:spacing w:after="120" w:line="276"/>
      </w:pPr>
      <w:r>
        <w:t xml:space="preserve">La sistematización recoge información de múltiples fuentes generadas durante el ciclo de mentorías: documentos de solución por piloto (vigentes v0.5, v0.8 y v7), reportes y transcripciones de las 12 mentorías, Canvas MicroVET, entrevistas a actores, evidencias de implementación (cartas de colaboración, materiales, registros) e instancias de coordinación del equipo.</w:t>
      </w:r>
    </w:p>
    <w:p>
      <w:pPr>
        <w:pStyle w:val="Heading2"/>
      </w:pPr>
      <w:r>
        <w:t xml:space="preserve">3.2 Criterios de selección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Vinculación explícita con la economía azul.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Carácter aplicado de la experiencia (ciclo real de mentorías y desarrollo de solución).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Relevancia educativa (articulación con procesos formativos y participación de docentes/estudiantes).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Potencial de replicabilidad y escalabilidad.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Disponibilidad y calidad de la evidencia.</w:t>
      </w:r>
    </w:p>
    <w:p>
      <w:pPr>
        <w:pStyle w:val="Heading2"/>
      </w:pPr>
      <w:r>
        <w:t xml:space="preserve">3.3 Proceso de análisis</w:t>
      </w:r>
    </w:p>
    <w:p>
      <w:pPr>
        <w:spacing w:after="120" w:line="276"/>
      </w:pPr>
      <w:r>
        <w:t xml:space="preserve">El análisis se desarrolló en tres etapas: revisión individual de cada piloto y su documentación; síntesis narrativa con una estructura común; y un análisis transversal que identifica patrones, diferencias y aprendizajes compartidos.</w:t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Caso de Estudio I: Diplomado en Economía Azul y Sostenibilidad Costera</w:t>
      </w:r>
    </w:p>
    <w:p>
      <w:pPr>
        <w:pStyle w:val="Heading3"/>
      </w:pPr>
      <w:r>
        <w:t xml:space="preserve">Identificación del caso</w:t>
      </w:r>
    </w:p>
    <w:p>
      <w:pPr>
        <w:spacing w:after="120" w:line="276"/>
      </w:pPr>
      <w:r>
        <w:t xml:space="preserve">Piloto desarrollado por IDMA a través de su Academia de Medioambiente (OTEC) / Dirección de Educación Continua. Mentees: Estefanía Campos y Juan Otero. Voces expertas: Sebastián Cerda (M2) y Aldo Poblete (M3–M4).</w:t>
      </w:r>
    </w:p>
    <w:p>
      <w:pPr>
        <w:pStyle w:val="Heading3"/>
      </w:pPr>
      <w:r>
        <w:t xml:space="preserve">Resumen ejecutivo del caso</w:t>
      </w:r>
    </w:p>
    <w:p>
      <w:pPr>
        <w:spacing w:after="120" w:line="276"/>
      </w:pPr>
      <w:r>
        <w:t xml:space="preserve">Diplomado modularizable (4 cursos × 30 h = 120 h) que profesionaliza la economía azul con foco en empleabilidad, bajo un enfoque de microcredenciales y un discurso de “oportunidad + conservación”. Documento de solución vigente: v0.5.</w:t>
      </w:r>
    </w:p>
    <w:p>
      <w:pPr>
        <w:pStyle w:val="Heading3"/>
      </w:pPr>
      <w:r>
        <w:t xml:space="preserve">Objetivo y alcance</w:t>
      </w:r>
    </w:p>
    <w:p>
      <w:pPr>
        <w:spacing w:after="120" w:line="276"/>
      </w:pPr>
      <w:r>
        <w:t xml:space="preserve">Formar personas capaces de identificar y aprovechar oportunidades de desarrollo sostenible asociadas al mar; alcance nacional en modalidad online con instancia presencial opcional. Población: arquetipo “Amaro” (25–45 años).</w:t>
      </w:r>
    </w:p>
    <w:p>
      <w:pPr>
        <w:pStyle w:val="Heading3"/>
      </w:pPr>
      <w:r>
        <w:t xml:space="preserve">Descripción de la experiencia</w:t>
      </w:r>
    </w:p>
    <w:p>
      <w:pPr>
        <w:spacing w:after="120" w:line="276"/>
      </w:pPr>
      <w:r>
        <w:t xml:space="preserve">Cuatro cursos disciplinares (economía azul y sistemas marino-costeros; gestión de recursos y residuos; innovación y tecnologías; normativa e institucionalidad), con 60/40 teórico-práctico y micro-certificación por curso. Incorpora un eje de gobernanza y permisología (SEA, Subpesca, Sernapesca, IFOP, Directemar).</w:t>
      </w:r>
    </w:p>
    <w:p>
      <w:pPr>
        <w:pStyle w:val="Heading3"/>
      </w:pPr>
      <w:r>
        <w:t xml:space="preserve">Componentes principales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Enfoque de microcredenciales (MicroVET/MBMC).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ABP con casos reales del territorio.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Micro-certificaciones por curso (GIS, ISO 14001, formulación de proyectos).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Alianzas con el sector (IFOP, Sernapesca, gremios, ECIM-PUC).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Financiamiento vía SENCE.</w:t>
      </w:r>
    </w:p>
    <w:p>
      <w:pPr>
        <w:pStyle w:val="Heading3"/>
      </w:pPr>
      <w:r>
        <w:t xml:space="preserve">Resultados reportados y evidencias</w:t>
      </w:r>
    </w:p>
    <w:p>
      <w:pPr>
        <w:spacing w:after="120" w:line="276"/>
      </w:pPr>
      <w:r>
        <w:t xml:space="preserve">Documento de solución v0.5, Canvas MicroVET y reportes M1–M4. Testeo de empleabilidad validado por Aldo Poblete. [Encuesta de demanda formativa por completar.]</w:t>
      </w:r>
    </w:p>
    <w:p>
      <w:pPr>
        <w:pStyle w:val="Heading3"/>
      </w:pPr>
      <w:r>
        <w:t xml:space="preserve">Proyección y líneas de continuidad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Presentación a coordinación académica (Hilda Zúñiga) y rectoría.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Definición de timing, equipo docente y costos.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Financiamiento SENCE y venta directa a empresas.</w:t>
      </w:r>
    </w:p>
    <w:p>
      <w:pPr>
        <w:pStyle w:val="Heading2"/>
      </w:pPr>
      <w:r>
        <w:t xml:space="preserve">Caso de Estudio II: Mes Azul IDMA</w:t>
      </w:r>
    </w:p>
    <w:p>
      <w:pPr>
        <w:pStyle w:val="Heading3"/>
      </w:pPr>
      <w:r>
        <w:t xml:space="preserve">Identificación del caso</w:t>
      </w:r>
    </w:p>
    <w:p>
      <w:pPr>
        <w:spacing w:after="120" w:line="276"/>
      </w:pPr>
      <w:r>
        <w:t xml:space="preserve">Piloto desarrollado por IDMA (sede CTS Buin). Equipo: Paola Cerda, Víctor Bravo y Javiera Núñez. Voces expertas: Jessica Morales (Uniminuto, M2) y Sebastián Gallardo (U. de Antofagasta, M4).</w:t>
      </w:r>
    </w:p>
    <w:p>
      <w:pPr>
        <w:pStyle w:val="Heading3"/>
      </w:pPr>
      <w:r>
        <w:t xml:space="preserve">Resumen ejecutivo del caso</w:t>
      </w:r>
    </w:p>
    <w:p>
      <w:pPr>
        <w:spacing w:after="120" w:line="276"/>
      </w:pPr>
      <w:r>
        <w:t xml:space="preserve">Programa anual de vinculación de la economía azul que combina charlas tipo TED, contenidos digitales y una jornada de cierre con feria y seminario. Documento de solución vigente: v0.8. Usuario principal: arquetipo “Pedro” (20–30 años).</w:t>
      </w:r>
    </w:p>
    <w:p>
      <w:pPr>
        <w:pStyle w:val="Heading3"/>
      </w:pPr>
      <w:r>
        <w:t xml:space="preserve">Objetivo y alcance</w:t>
      </w:r>
    </w:p>
    <w:p>
      <w:pPr>
        <w:spacing w:after="120" w:line="276"/>
      </w:pPr>
      <w:r>
        <w:t xml:space="preserve">Vincular academia, empresa y sector productivo; posicionar a IDMA como referente nacional e instalar un hito anual. Alcance territorial con doble canal presencial/online.</w:t>
      </w:r>
    </w:p>
    <w:p>
      <w:pPr>
        <w:pStyle w:val="Heading3"/>
      </w:pPr>
      <w:r>
        <w:t xml:space="preserve">Descripción de la experiencia</w:t>
      </w:r>
    </w:p>
    <w:p>
      <w:pPr>
        <w:spacing w:after="120" w:line="276"/>
      </w:pPr>
      <w:r>
        <w:t xml:space="preserve">Feria presencial con stands tecnológicos, entrada inmersiva, ciclo de 6 charlas TED (ciencia / gestión pública / comunidad), seminario, talleres prácticos, curso certificable OTEC, cápsulas Class on Live y muestra de proyectos escolares de Guardianes del Agua.</w:t>
      </w:r>
    </w:p>
    <w:p>
      <w:pPr>
        <w:pStyle w:val="Heading3"/>
      </w:pPr>
      <w:r>
        <w:t xml:space="preserve">Componentes principales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Feria de economía azul como pieza central.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Charlas TED y cápsulas digitales.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Curso con certificación OTEC IDMA.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Rueda de vinculación estudiante–empresa.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Articulación con el piloto Guardianes del Agua.</w:t>
      </w:r>
    </w:p>
    <w:p>
      <w:pPr>
        <w:pStyle w:val="Heading3"/>
      </w:pPr>
      <w:r>
        <w:t xml:space="preserve">Resultados reportados y evidencias</w:t>
      </w:r>
    </w:p>
    <w:p>
      <w:pPr>
        <w:spacing w:after="120" w:line="276"/>
      </w:pPr>
      <w:r>
        <w:t xml:space="preserve">Documento de solución v0.8, Canvas MicroVET y set de KPIs de continuidad. Aportes de diseño de feria (M4, Sebastián Gallardo) y testeo con Aldo Poblete + focus group de Víctor Bravo.</w:t>
      </w:r>
    </w:p>
    <w:p>
      <w:pPr>
        <w:pStyle w:val="Heading3"/>
      </w:pPr>
      <w:r>
        <w:t xml:space="preserve">Proyección y líneas de continuidad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Cerrar el modelo de negocio e implementación (presupuesto, auspicios, becas).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Formalizar convenio con la U. de Antofagasta.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Proyección de cooperación regional Chile–Colombia.</w:t>
      </w:r>
    </w:p>
    <w:p>
      <w:pPr>
        <w:pStyle w:val="Heading2"/>
      </w:pPr>
      <w:r>
        <w:t xml:space="preserve">Caso de Estudio III: Guardianes del Agua</w:t>
      </w:r>
    </w:p>
    <w:p>
      <w:pPr>
        <w:pStyle w:val="Heading3"/>
      </w:pPr>
      <w:r>
        <w:t xml:space="preserve">Identificación del caso</w:t>
      </w:r>
    </w:p>
    <w:p>
      <w:pPr>
        <w:spacing w:after="120" w:line="276"/>
      </w:pPr>
      <w:r>
        <w:t xml:space="preserve">Piloto desarrollado por IDMA en comunidades escolares de Antofagasta y Mejillones (Liceo La Chimba y Escuela M. A. Elizondo Briceño). Mentees: Tania Melin, Ada Calderón y Eimilyn Alquinta. Voces expertas: Javiera Núñez (M2) y Sebastián Gallardo (M3).</w:t>
      </w:r>
    </w:p>
    <w:p>
      <w:pPr>
        <w:pStyle w:val="Heading3"/>
      </w:pPr>
      <w:r>
        <w:t xml:space="preserve">Resumen ejecutivo del caso</w:t>
      </w:r>
    </w:p>
    <w:p>
      <w:pPr>
        <w:spacing w:after="120" w:line="276"/>
      </w:pPr>
      <w:r>
        <w:t xml:space="preserve">Instructivo escolar y guía de operativos que, mediante ABP, permite a la comunidad escolar transformar una problemática hídrica real en un proyecto que se presenta en el Mes Azul. Documento vigente: v7. Destinatario directo: el docente formador.</w:t>
      </w:r>
    </w:p>
    <w:p>
      <w:pPr>
        <w:pStyle w:val="Heading3"/>
      </w:pPr>
      <w:r>
        <w:t xml:space="preserve">Objetivo y alcance</w:t>
      </w:r>
    </w:p>
    <w:p>
      <w:pPr>
        <w:spacing w:after="120" w:line="276"/>
      </w:pPr>
      <w:r>
        <w:t xml:space="preserve">Dejar capacidades instaladas en los docentes (“formar formadores”) y articular la comunidad escolar con la economía azul. Foco 4°–6° básico, con resguardos para el trabajo con menores.</w:t>
      </w:r>
    </w:p>
    <w:p>
      <w:pPr>
        <w:pStyle w:val="Heading3"/>
      </w:pPr>
      <w:r>
        <w:t xml:space="preserve">Descripción de la experiencia</w:t>
      </w:r>
    </w:p>
    <w:p>
      <w:pPr>
        <w:spacing w:after="120" w:line="276"/>
      </w:pPr>
      <w:r>
        <w:t xml:space="preserve">Ruta de 7 pasos y banco de experimentos ABP; MVP centrado en el operativo de limpieza de playa con la metodología “Científicos de la Basura” (Martin Thiel, UCN). Orden pedagógico: importancia del océano → amenazas → operativo.</w:t>
      </w:r>
    </w:p>
    <w:p>
      <w:pPr>
        <w:pStyle w:val="Heading3"/>
      </w:pPr>
      <w:r>
        <w:t xml:space="preserve">Componentes principales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Metodología ABP lista para el docente (“kit de ciencias”).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Banco de experimentos y operativo de limpieza (MVP).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Guía de Operativos para Monitores y Manual de Comisión Logística.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Convenio de Vinculación con el Medio (capacidad instalada).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Articulación con el Mes Azul.</w:t>
      </w:r>
    </w:p>
    <w:p>
      <w:pPr>
        <w:pStyle w:val="Heading3"/>
      </w:pPr>
      <w:r>
        <w:t xml:space="preserve">Resultados reportados y evidencias</w:t>
      </w:r>
    </w:p>
    <w:p>
      <w:pPr>
        <w:spacing w:after="120" w:line="276"/>
      </w:pPr>
      <w:r>
        <w:t xml:space="preserve">Instructivo v7, Canvas MicroVET y guías PDF. Resultado del testeo validado: cartas de compromiso firmadas con el Liceo La Chimba y la Escuela M. A. Elizondo Briceño.</w:t>
      </w:r>
    </w:p>
    <w:p>
      <w:pPr>
        <w:pStyle w:val="Heading3"/>
      </w:pPr>
      <w:r>
        <w:t xml:space="preserve">Proyección y líneas de continuidad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Convenio anual IDMA–comunidad escolar y sitio web del programa.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Financiamiento SENCE / ley REP (RSE).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Apertura progresiva del banco de experimentos.</w:t>
      </w:r>
    </w:p>
    <w:p>
      <w:pPr>
        <w:pStyle w:val="Heading1"/>
      </w:pPr>
      <w:r>
        <w:t xml:space="preserve">5. Análisis transversal</w:t>
      </w:r>
    </w:p>
    <w:p>
      <w:pPr>
        <w:pStyle w:val="Heading2"/>
      </w:pPr>
      <w:r>
        <w:t xml:space="preserve">5.1 Patrones comunes</w:t>
      </w:r>
    </w:p>
    <w:p>
      <w:pPr>
        <w:spacing w:after="120" w:line="276"/>
      </w:pPr>
      <w:r>
        <w:t xml:space="preserve">Los tres pilotos comparten condiciones habilitantes: </w:t>
      </w:r>
      <w:r>
        <w:rPr>
          <w:b/>
          <w:bCs/>
        </w:rPr>
        <w:t xml:space="preserve">territorialización</w:t>
      </w:r>
      <w:r>
        <w:t xml:space="preserve"> (la economía azul se aborda desde el contexto marino-costero concreto), desarrollo de </w:t>
      </w:r>
      <w:r>
        <w:rPr>
          <w:b/>
          <w:bCs/>
        </w:rPr>
        <w:t xml:space="preserve">blue skills como combinaciones de competencias</w:t>
      </w:r>
      <w:r>
        <w:t xml:space="preserve"> (no habilidades aisladas) y el uso de la economía azul como </w:t>
      </w:r>
      <w:r>
        <w:rPr>
          <w:b/>
          <w:bCs/>
        </w:rPr>
        <w:t xml:space="preserve">marco pedagógico operativo</w:t>
      </w:r>
      <w:r>
        <w:t xml:space="preserve"> que articula sostenibilidad, educación e innovación.</w:t>
      </w:r>
    </w:p>
    <w:p>
      <w:pPr>
        <w:pStyle w:val="Heading2"/>
      </w:pPr>
      <w:r>
        <w:t xml:space="preserve">5.2 Funciones complementarias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Diplomado — función de formación profesional y empleabilidad (educación continua / superior).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Mes Azul — función de vinculación, cultura oceánica y ciudadanía azul (encuentro academia–empresa–comunidad).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Guardianes del Agua — función de alfabetización oceánica y formación temprana (educación escolar).</w:t>
      </w:r>
    </w:p>
    <w:p>
      <w:pPr>
        <w:spacing w:after="120" w:line="276"/>
      </w:pPr>
      <w:r>
        <w:t xml:space="preserve">En conjunto cubren múltiples niveles del sistema educativo (escolar, técnico-profesional y educación continua) y dimensiones complementarias de la transición hacia una economía azul regenerativa.</w:t>
      </w:r>
    </w:p>
    <w:p>
      <w:pPr>
        <w:pStyle w:val="Heading2"/>
      </w:pPr>
      <w:r>
        <w:t xml:space="preserve">5.3 Ideas fuerza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 economía azul es un enfoque educativo multinivel que requiere intervenciones diferenciadas.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 diversidad de pilotos es una necesidad estructural: ninguno por sí solo cubre todas las dimensiones.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 sostenibilidad del impacto depende de la base institucional y docente, más que de la ejecución puntual.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 formación temprana (escolar y TP) es crítica para reducir brechas entre educación, territorio y empleabilidad.</w:t>
      </w:r>
    </w:p>
    <w:p>
      <w:pPr>
        <w:pStyle w:val="Heading1"/>
      </w:pPr>
      <w:r>
        <w:t xml:space="preserve">6. Conclusiones y proyecciones</w:t>
      </w:r>
    </w:p>
    <w:p>
      <w:pPr>
        <w:spacing w:after="120" w:line="276"/>
      </w:pPr>
      <w:r>
        <w:t xml:space="preserve">En esta etapa, el WP3 de IDMA consolida tres pilotos con propuestas de solución vigentes, Canvas MicroVET completos y evidencia de implementación real (incluidas cartas de colaboración firmadas). Los casos validan la pertinencia de la economía azul como enfoque educativo transversal y aportan criterios empíricos para el diseño, la evaluación cruzada (T3.3) y la futura sistematización de casos de estudio (T3.4).</w:t>
      </w:r>
    </w:p>
    <w:p>
      <w:pPr>
        <w:spacing w:after="120" w:line="276"/>
      </w:pPr>
      <w:r>
        <w:t xml:space="preserve">Las proyecciones apuntan a completar la evaluación cruzada (hito M12), formalizar continuidades (convenios, financiamiento SENCE/REP) y definir la entidad emisora de las microcredenciales.</w:t>
      </w: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1 — Casos de estudio individuales (3 fichas según plantilla estándar WP3 / Academia).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2 — Documentos de solución vigentes: Diplomado v0.5, Mes Azul v0.8, Guardianes v7.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3 — Canvas MicroVET por piloto; rúbrica T3.3 y base de datos de evaluaciones.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4 — Evidencia de implementación: cartas de colaboración, guías de operativo, reportes de mentoría.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24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2026-06-22T13:28:45.435Z</dcterms:created>
  <dcterms:modified xsi:type="dcterms:W3CDTF">2026-06-22T13:28:45.435Z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