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b/>
          <w:bCs/>
          <w:caps/>
          <w:color w:val="0E7C86"/>
          <w:sz w:val="22"/>
          <w:szCs w:val="22"/>
        </w:rPr>
        <w:t xml:space="preserve">Informe Final Consolidado · WP3</w:t>
      </w:r>
    </w:p>
    <w:p>
      <w:pPr>
        <w:spacing w:after="60"/>
      </w:pPr>
      <w:r>
        <w:rPr>
          <w:b/>
          <w:bCs/>
          <w:color w:val="16242F"/>
          <w:sz w:val="52"/>
          <w:szCs w:val="52"/>
        </w:rPr>
        <w:t xml:space="preserve">Informe Final Consolidado del WP3</w:t>
      </w:r>
    </w:p>
    <w:p>
      <w:pPr>
        <w:spacing w:after="200"/>
      </w:pPr>
      <w:r>
        <w:rPr>
          <w:i/>
          <w:iCs/>
          <w:color w:val="5A7280"/>
          <w:sz w:val="28"/>
          <w:szCs w:val="28"/>
        </w:rPr>
        <w:t xml:space="preserve">Diseño y ejecución de pilotos · Blue Economy Lab</w:t>
      </w:r>
    </w:p>
    <w:p>
      <w:pPr>
        <w:pBdr>
          <w:bottom w:val="single" w:color="0E7C86" w:sz="8" w:space="2"/>
        </w:pBdr>
        <w:spacing w:after="160"/>
      </w:pPr>
      <w:r>
        <w:t xml:space="preserve"/>
      </w:r>
    </w:p>
    <w:p>
      <w:pPr>
        <w:spacing w:after="120" w:line="276"/>
      </w:pPr>
      <w:r>
        <w:rPr>
          <w:color w:val="5A7280"/>
        </w:rPr>
        <w:t xml:space="preserve"/>
      </w:r>
      <w:r>
        <w:rPr>
          <w:b/>
          <w:bCs/>
          <w:color w:val="5A7280"/>
        </w:rPr>
        <w:t xml:space="preserve">Blue Economy Lab</w:t>
      </w:r>
      <w:r>
        <w:rPr>
          <w:color w:val="5A7280"/>
        </w:rPr>
        <w:t xml:space="preserve"> · WP3 · IDMA · Proyecto Erasmus+ N.º 101183250</w:t>
      </w:r>
    </w:p>
    <w:p>
      <w:pPr>
        <w:spacing w:after="120" w:line="276"/>
      </w:pPr>
      <w:r>
        <w:rPr>
          <w:color w:val="5A7280"/>
        </w:rPr>
        <w:t xml:space="preserve">Versión 1 · borrador — 22 de junio de 2026</w:t>
      </w:r>
    </w:p>
    <w:p>
      <w:pPr>
        <w:spacing w:after="0" w:before="120"/>
      </w:pPr>
      <w:r>
        <w:rPr>
          <w:i/>
          <w:iCs/>
          <w:color w:val="5A7280"/>
          <w:sz w:val="18"/>
          <w:szCs w:val="18"/>
        </w:rPr>
        <w:t xml:space="preserve">Documento generado como primera versión a partir de la evidencia del repositorio “WP3 Respaldo Ordenado”. Los datos entre [corchetes] quedan pendientes de confirmar por el equipo.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 w:line="276"/>
      </w:pPr>
      <w:r>
        <w:t xml:space="preserve">El Work Package 3 (WP3), liderado por IDMA, diseñó y ejecutó tres pilotos educativos de economía azul —Diplomado en Economía Azul, Mes Azul y Guardianes del Agua— mediante un ciclo de cuatro mentorías por piloto (12 en total, completadas en junio de 2026). Cada piloto cuenta con una propuesta de solución vigente (v0.5, v0.8 y v7), un Canvas MicroVET y evidencia de implementación. Se dispone, además, del instrumento de evaluación cruzada (T3.3) listo para su aplicación por el consorcio.</w:t>
      </w:r>
    </w:p>
    <w:p>
      <w:pPr>
        <w:pStyle w:val="Heading1"/>
      </w:pPr>
      <w:r>
        <w:t xml:space="preserve">2. Contexto del proyecto</w:t>
      </w:r>
    </w:p>
    <w:p>
      <w:pPr>
        <w:spacing w:after="120" w:line="276"/>
      </w:pPr>
      <w:r>
        <w:t xml:space="preserve">Blue Economy Lab es un proyecto Erasmus+ (N.º 101183250), de 24 meses (sep 2025 – 2027), que articula a IDMA y Mil y un mentorías (Chile), UNIMINUTO (Colombia) y los socios europeos 2811, DomSpain y Weltweit. El WP3, liderado por IDMA, comprende: </w:t>
      </w:r>
      <w:r>
        <w:rPr>
          <w:b/>
          <w:bCs/>
        </w:rPr>
        <w:t xml:space="preserve">T3.2</w:t>
      </w:r>
      <w:r>
        <w:t xml:space="preserve"> ejecución de pilotos, </w:t>
      </w:r>
      <w:r>
        <w:rPr>
          <w:b/>
          <w:bCs/>
        </w:rPr>
        <w:t xml:space="preserve">T3.3</w:t>
      </w:r>
      <w:r>
        <w:t xml:space="preserve"> evaluación cruzada entre pares (hito M12) y </w:t>
      </w:r>
      <w:r>
        <w:rPr>
          <w:b/>
          <w:bCs/>
        </w:rPr>
        <w:t xml:space="preserve">T3.4</w:t>
      </w:r>
      <w:r>
        <w:t xml:space="preserve"> sistematización de casos de estudio. DomSpain integra la plataforma de pilotos en el sitio blueeconomylabs.com.</w:t>
      </w:r>
    </w:p>
    <w:p>
      <w:pPr>
        <w:pStyle w:val="Heading1"/>
      </w:pPr>
      <w:r>
        <w:t xml:space="preserve">3. Enfoque metodológico</w:t>
      </w:r>
    </w:p>
    <w:p>
      <w:pPr>
        <w:spacing w:after="120" w:line="276"/>
      </w:pPr>
      <w:r>
        <w:t xml:space="preserve">Los pilotos se diseñan bajo el </w:t>
      </w:r>
      <w:r>
        <w:rPr>
          <w:b/>
          <w:bCs/>
        </w:rPr>
        <w:t xml:space="preserve">enfoque de microcredenciales (MicroVET / MBMC)</w:t>
      </w:r>
      <w:r>
        <w:t xml:space="preserve">, combinando aprendizaje basado en proyectos/problemas (ABP), alfabetización oceánica y pensamiento sistémico. Cada piloto recorre un ciclo de cuatro mentorías con un canvas por sesión.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M1 — Segmento y problema (definición del usuario y desafío central).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M2 — Propuesta de valor y solución (con voz experta).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M3 — Testcard y validación (prueba de supuestos en terreno).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M4 — Canvas de continuidad (escalamiento y sostenibilidad).</w:t>
      </w:r>
    </w:p>
    <w:p>
      <w:pPr>
        <w:spacing w:after="120" w:line="276"/>
      </w:pPr>
      <w:r>
        <w:t xml:space="preserve">Marcos de referencia: EQF, ECTS, Europass y la Recomendación del Consejo UE 2022; INNOVET LATAM, ESCO, EQAVET, CEDEFOP y la alfabetización oceánica de UNESCO.</w:t>
      </w:r>
    </w:p>
    <w:p>
      <w:pPr>
        <w:pStyle w:val="Heading1"/>
      </w:pPr>
      <w:r>
        <w:t xml:space="preserve">4. Los tres pilotos</w:t>
      </w:r>
    </w:p>
    <w:p>
      <w:pPr>
        <w:pStyle w:val="Heading2"/>
      </w:pPr>
      <w:r>
        <w:t xml:space="preserve">4.1 Diplomado en Economía Azul y Sostenibilidad Costera (v0.5)</w:t>
      </w:r>
    </w:p>
    <w:p>
      <w:pPr>
        <w:spacing w:after="120" w:line="276"/>
      </w:pPr>
      <w:r>
        <w:t xml:space="preserve">Formación de educación continua (4 cursos × 30 h), 60/40 teórico-práctico, con micro-certificación por curso y un eje de gobernanza/permisología. Mentees: Estefanía Campos y Juan Otero. Persona: “Amaro”. Financiamiento: SENCE.</w:t>
      </w:r>
    </w:p>
    <w:p>
      <w:pPr>
        <w:pStyle w:val="Heading2"/>
      </w:pPr>
      <w:r>
        <w:t xml:space="preserve">4.2 Mes Azul IDMA (v0.8)</w:t>
      </w:r>
    </w:p>
    <w:p>
      <w:pPr>
        <w:spacing w:after="120" w:line="276"/>
      </w:pPr>
      <w:r>
        <w:t xml:space="preserve">Programa anual de vinculación con feria de economía azul, charlas TED y curso certificable OTEC. Equipo: Paola Cerda, Víctor Bravo, Javiera Núñez. Persona: “Pedro”. KPIs de continuidad definidos.</w:t>
      </w:r>
    </w:p>
    <w:p>
      <w:pPr>
        <w:pStyle w:val="Heading2"/>
      </w:pPr>
      <w:r>
        <w:t xml:space="preserve">4.3 Guardianes del Agua (v7)</w:t>
      </w:r>
    </w:p>
    <w:p>
      <w:pPr>
        <w:spacing w:after="120" w:line="276"/>
      </w:pPr>
      <w:r>
        <w:t xml:space="preserve">Instructivo escolar ABP con MVP en el operativo de limpieza de playa (“Científicos de la Basura”). Comunidades: Liceo La Chimba y Escuela M. A. Elizondo Briceño. Mentees: Tania Melin, Ada Calderón y Eimilyn Alquinta. Cartas de colaboración firmadas.</w:t>
      </w:r>
    </w:p>
    <w:p>
      <w:pPr>
        <w:pStyle w:val="Heading1"/>
      </w:pPr>
      <w:r>
        <w:t xml:space="preserve">5. Sistema de mentorías</w:t>
      </w:r>
    </w:p>
    <w:p>
      <w:pPr>
        <w:spacing w:after="120" w:line="276"/>
      </w:pPr>
      <w:r>
        <w:t xml:space="preserve">Las 12 mentorías (4 × 3 pilotos) se realizaron con una estructura común de sesión: apertura y registro → presentación del mentor → pregunta gatillo → trabajo en el canvas → tareas. Voces expertas: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Jessica Morales (UNIMINUTO, Colombia) — pertinencia curricular y modelo multimodal (Mes Azul M2).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Javiera Núñez (IDMA, bióloga marina) — ecosistemas costeros y banco de experimentos (Guardianes M2).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Sebastián Gallardo (U. de Antofagasta, C-TyS) — divulgación científica y diseño de ferias (Guardianes M3 / Mes Azul M4).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Aldo Poblete (IDMA, biólogo marino) — empleabilidad y lenguaje común teoría-práctica (Diplomado M3–M4).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Sebastián Cerda (IDMA, OTEC AMA) — diseño curricular y educación continua (Diplomado M2).</w:t>
      </w:r>
    </w:p>
    <w:p>
      <w:pPr>
        <w:pStyle w:val="Heading1"/>
      </w:pPr>
      <w:r>
        <w:t xml:space="preserve">6. Evaluación cruzada (T3.3)</w:t>
      </w:r>
    </w:p>
    <w:p>
      <w:pPr>
        <w:spacing w:after="120" w:line="276"/>
      </w:pPr>
      <w:r>
        <w:t xml:space="preserve">Instrumento estandarizado (hito MS5) co-liderado por IDMA y Mil y un mentorías. Principio: cada piloto es evaluado por pares de </w:t>
      </w:r>
      <w:r>
        <w:rPr>
          <w:b/>
          <w:bCs/>
        </w:rPr>
        <w:t xml:space="preserve">otras</w:t>
      </w:r>
      <w:r>
        <w:t xml:space="preserve"> instituciones (mínimo 2, sin autoevaluación). Escala 1–4; puntaje ponderado = Σ(peso × nivel); % de logro = ponderado / 4; </w:t>
      </w:r>
      <w:r>
        <w:rPr>
          <w:b/>
          <w:bCs/>
        </w:rPr>
        <w:t xml:space="preserve">umbral de aprobación 80 %</w:t>
      </w:r>
      <w:r>
        <w:t xml:space="preserve"> (≥ 3,2/4).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60"/>
        <w:gridCol w:w="220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D9EC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6242F"/>
              </w:rPr>
              <w:t xml:space="preserve">N</w:t>
            </w:r>
          </w:p>
        </w:tc>
        <w:tc>
          <w:tcPr>
            <w:tcW w:type="dxa" w:w="53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D9EC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6242F"/>
              </w:rPr>
              <w:t xml:space="preserve">Criterio</w:t>
            </w:r>
          </w:p>
        </w:tc>
        <w:tc>
          <w:tcPr>
            <w:tcW w:type="dxa" w:w="22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D9EC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6242F"/>
              </w:rPr>
              <w:t xml:space="preserve">Dimensión</w:t>
            </w:r>
          </w:p>
        </w:tc>
        <w:tc>
          <w:tcPr>
            <w:tcW w:type="dxa" w:w="12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D9EC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6242F"/>
              </w:rPr>
              <w:t xml:space="preserve">Peso</w:t>
            </w:r>
          </w:p>
        </w:tc>
      </w:tr>
      <w:tr>
        <w:tc>
          <w:tcPr>
            <w:tcW w:type="dxa" w:w="6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3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Alineación con economía azul y sostenibilidad</w:t>
            </w:r>
          </w:p>
        </w:tc>
        <w:tc>
          <w:tcPr>
            <w:tcW w:type="dxa" w:w="22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Curricular</w:t>
            </w:r>
          </w:p>
        </w:tc>
        <w:tc>
          <w:tcPr>
            <w:tcW w:type="dxa" w:w="12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15%</w:t>
            </w:r>
          </w:p>
        </w:tc>
      </w:tr>
      <w:tr>
        <w:tc>
          <w:tcPr>
            <w:tcW w:type="dxa" w:w="6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3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Claridad de resultados de aprendizaje</w:t>
            </w:r>
          </w:p>
        </w:tc>
        <w:tc>
          <w:tcPr>
            <w:tcW w:type="dxa" w:w="22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Curricular</w:t>
            </w:r>
          </w:p>
        </w:tc>
        <w:tc>
          <w:tcPr>
            <w:tcW w:type="dxa" w:w="12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15%</w:t>
            </w:r>
          </w:p>
        </w:tc>
      </w:tr>
      <w:tr>
        <w:tc>
          <w:tcPr>
            <w:tcW w:type="dxa" w:w="6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3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Pertinencia territorial y participación comunitaria</w:t>
            </w:r>
          </w:p>
        </w:tc>
        <w:tc>
          <w:tcPr>
            <w:tcW w:type="dxa" w:w="22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Extracurricular</w:t>
            </w:r>
          </w:p>
        </w:tc>
        <w:tc>
          <w:tcPr>
            <w:tcW w:type="dxa" w:w="12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10%</w:t>
            </w:r>
          </w:p>
        </w:tc>
      </w:tr>
      <w:tr>
        <w:tc>
          <w:tcPr>
            <w:tcW w:type="dxa" w:w="6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3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Calidad metodológica del piloto (MicroVET/ABP)</w:t>
            </w:r>
          </w:p>
        </w:tc>
        <w:tc>
          <w:tcPr>
            <w:tcW w:type="dxa" w:w="22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Ambas</w:t>
            </w:r>
          </w:p>
        </w:tc>
        <w:tc>
          <w:tcPr>
            <w:tcW w:type="dxa" w:w="12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15%</w:t>
            </w:r>
          </w:p>
        </w:tc>
      </w:tr>
      <w:tr>
        <w:tc>
          <w:tcPr>
            <w:tcW w:type="dxa" w:w="6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3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Evidencia de implementación real</w:t>
            </w:r>
          </w:p>
        </w:tc>
        <w:tc>
          <w:tcPr>
            <w:tcW w:type="dxa" w:w="22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Ambas</w:t>
            </w:r>
          </w:p>
        </w:tc>
        <w:tc>
          <w:tcPr>
            <w:tcW w:type="dxa" w:w="12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20%</w:t>
            </w:r>
          </w:p>
        </w:tc>
      </w:tr>
      <w:tr>
        <w:tc>
          <w:tcPr>
            <w:tcW w:type="dxa" w:w="6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53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Potencial de escalabilidad / replicabilidad</w:t>
            </w:r>
          </w:p>
        </w:tc>
        <w:tc>
          <w:tcPr>
            <w:tcW w:type="dxa" w:w="22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Extracurricular</w:t>
            </w:r>
          </w:p>
        </w:tc>
        <w:tc>
          <w:tcPr>
            <w:tcW w:type="dxa" w:w="12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10%</w:t>
            </w:r>
          </w:p>
        </w:tc>
      </w:tr>
      <w:tr>
        <w:tc>
          <w:tcPr>
            <w:tcW w:type="dxa" w:w="6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53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Viabilidad institucional y continuidad</w:t>
            </w:r>
          </w:p>
        </w:tc>
        <w:tc>
          <w:tcPr>
            <w:tcW w:type="dxa" w:w="22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Extracurricular</w:t>
            </w:r>
          </w:p>
        </w:tc>
        <w:tc>
          <w:tcPr>
            <w:tcW w:type="dxa" w:w="12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10%</w:t>
            </w:r>
          </w:p>
        </w:tc>
      </w:tr>
      <w:tr>
        <w:tc>
          <w:tcPr>
            <w:tcW w:type="dxa" w:w="6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536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Inclusión, accesibilidad y enfoque ecosocial</w:t>
            </w:r>
          </w:p>
        </w:tc>
        <w:tc>
          <w:tcPr>
            <w:tcW w:type="dxa" w:w="22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Ambas</w:t>
            </w:r>
          </w:p>
        </w:tc>
        <w:tc>
          <w:tcPr>
            <w:tcW w:type="dxa" w:w="12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5%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t xml:space="preserve"/>
      </w:r>
      <w:r>
        <w:rPr>
          <w:b/>
          <w:bCs/>
        </w:rPr>
        <w:t xml:space="preserve">Asignación cruzada</w:t>
      </w:r>
      <w:r>
        <w:t xml:space="preserve"> definida para los pilotos IDMA: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080"/>
        <w:gridCol w:w="2080"/>
      </w:tblGrid>
      <w:tr>
        <w:trPr>
          <w:tblHeader/>
        </w:trPr>
        <w:tc>
          <w:tcPr>
            <w:tcW w:type="dxa" w:w="30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D9EC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6242F"/>
              </w:rPr>
              <w:t xml:space="preserve">Piloto / actividad</w:t>
            </w:r>
          </w:p>
        </w:tc>
        <w:tc>
          <w:tcPr>
            <w:tcW w:type="dxa" w:w="22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D9EC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6242F"/>
              </w:rPr>
              <w:t xml:space="preserve">Institución responsable</w:t>
            </w:r>
          </w:p>
        </w:tc>
        <w:tc>
          <w:tcPr>
            <w:tcW w:type="dxa" w:w="208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D9EC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6242F"/>
              </w:rPr>
              <w:t xml:space="preserve">Evaluador 1</w:t>
            </w:r>
          </w:p>
        </w:tc>
        <w:tc>
          <w:tcPr>
            <w:tcW w:type="dxa" w:w="208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shd w:fill="D9EC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6242F"/>
              </w:rPr>
              <w:t xml:space="preserve">Evaluador 2</w:t>
            </w:r>
          </w:p>
        </w:tc>
      </w:tr>
      <w:tr>
        <w:tc>
          <w:tcPr>
            <w:tcW w:type="dxa" w:w="30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Mes Azul IDMA</w:t>
            </w:r>
          </w:p>
        </w:tc>
        <w:tc>
          <w:tcPr>
            <w:tcW w:type="dxa" w:w="22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IDMA</w:t>
            </w:r>
          </w:p>
        </w:tc>
        <w:tc>
          <w:tcPr>
            <w:tcW w:type="dxa" w:w="208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Mil y un mentorías</w:t>
            </w:r>
          </w:p>
        </w:tc>
        <w:tc>
          <w:tcPr>
            <w:tcW w:type="dxa" w:w="208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UNIMINUTO</w:t>
            </w:r>
          </w:p>
        </w:tc>
      </w:tr>
      <w:tr>
        <w:tc>
          <w:tcPr>
            <w:tcW w:type="dxa" w:w="30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Diplomado Economía Azul</w:t>
            </w:r>
          </w:p>
        </w:tc>
        <w:tc>
          <w:tcPr>
            <w:tcW w:type="dxa" w:w="22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IDMA</w:t>
            </w:r>
          </w:p>
        </w:tc>
        <w:tc>
          <w:tcPr>
            <w:tcW w:type="dxa" w:w="208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2811</w:t>
            </w:r>
          </w:p>
        </w:tc>
        <w:tc>
          <w:tcPr>
            <w:tcW w:type="dxa" w:w="208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DomSpain</w:t>
            </w:r>
          </w:p>
        </w:tc>
      </w:tr>
      <w:tr>
        <w:tc>
          <w:tcPr>
            <w:tcW w:type="dxa" w:w="30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Guardianes del Agua</w:t>
            </w:r>
          </w:p>
        </w:tc>
        <w:tc>
          <w:tcPr>
            <w:tcW w:type="dxa" w:w="220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IDMA</w:t>
            </w:r>
          </w:p>
        </w:tc>
        <w:tc>
          <w:tcPr>
            <w:tcW w:type="dxa" w:w="208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UNIMINUTO</w:t>
            </w:r>
          </w:p>
        </w:tc>
        <w:tc>
          <w:tcPr>
            <w:tcW w:type="dxa" w:w="2080"/>
            <w:tcBorders>
              <w:top w:val="single" w:color="CCD4D8" w:sz="1"/>
              <w:left w:val="single" w:color="CCD4D8" w:sz="1"/>
              <w:bottom w:val="single" w:color="CCD4D8" w:sz="1"/>
              <w:right w:val="single" w:color="CCD4D8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Mil y un mentorías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t xml:space="preserve">Estado: el instrumento y la base de datos de evaluaciones en línea están listos; la carga de evaluaciones del consorcio está en curso. Entregable comprometido: reporte de cross-assessment (digital, español, ~10 páginas) con vencimiento en M12.</w:t>
      </w:r>
    </w:p>
    <w:p>
      <w:pPr>
        <w:pStyle w:val="Heading1"/>
      </w:pPr>
      <w:r>
        <w:t xml:space="preserve">7. Resultados, impacto y aprendizajes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3 pilotos con propuestas de solución vigentes y Canvas MicroVET completos.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12 mentorías realizadas con 5+ voces expertas y 8 mentees/estudiantes.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Evidencia de implementación real: cartas de colaboración firmadas (Liceo La Chimba, Escuela M. A. Elizondo Briceño).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Instrumento de evaluación cruzada operativo y conectado a la plataforma web.</w:t>
      </w:r>
    </w:p>
    <w:p>
      <w:pPr>
        <w:spacing w:after="120" w:line="276"/>
      </w:pPr>
      <w:r>
        <w:t xml:space="preserve">Voces del territorio (entrevistas): “Sin conocimiento no hay empatía, y sin empatía no hay protección” (Ada Calderón); la clave es “un lenguaje común entre la teoría y la práctica” (Aldo Poblete); “el reto es que los adultos se permitan desaprender” (Eimilyn Alquinta).</w:t>
      </w:r>
    </w:p>
    <w:p>
      <w:pPr>
        <w:pStyle w:val="Heading1"/>
      </w:pPr>
      <w:r>
        <w:t xml:space="preserve">8. Microcredenciales y alineación europea</w:t>
      </w:r>
    </w:p>
    <w:p>
      <w:pPr>
        <w:spacing w:after="120" w:line="276"/>
      </w:pPr>
      <w:r>
        <w:t xml:space="preserve">Los pilotos se diseñan bajo el enfoque de microcredenciales, pero aún </w:t>
      </w:r>
      <w:r>
        <w:rPr>
          <w:b/>
          <w:bCs/>
        </w:rPr>
        <w:t xml:space="preserve">no</w:t>
      </w:r>
      <w:r>
        <w:t xml:space="preserve"> se otorgan como tales: falta definir la entidad emisora y la certificación. El Business Model Canvas for Microcredentials (MBMC) estructura cada piloto en 9 bloques (learner persona, propuesta de valor, currículum, mapa del viaje, canales, socios clave, actividades/recursos, calidad, costos/ingresos). El mapeo a EQF/ECTS se confirma con la coordinación (2811 / Weltweit).</w:t>
      </w:r>
    </w:p>
    <w:p>
      <w:pPr>
        <w:pStyle w:val="Heading1"/>
      </w:pPr>
      <w:r>
        <w:t xml:space="preserve">9. Conclusiones y próximos pasos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Cierre interno de pilotos (fin de julio) y consolidación de evidencia.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Completar la evaluación cruzada T3.3 (hito M12, diciembre).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Sistematizar los casos de estudio (T3.4) a partir de los pilotos.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Integrar la plataforma de pilotos en blueeconomylabs.com (DomSpain).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Definir la entidad emisora de las microcredenciales y la ruta de certificación.</w:t>
      </w:r>
    </w:p>
    <w:p>
      <w:pPr>
        <w:pStyle w:val="Heading1"/>
      </w:pPr>
      <w:r>
        <w:t xml:space="preserve">Anexos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Anexo A — Casos de estudio (3) según plantilla estándar WP3 / Academia.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Anexo B — Informe de Casos de Estudio (Compilation Report) de los pilotos IDMA.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Anexo C — Documentos de solución vigentes (v0.5 / v0.8 / v7) y Canvas MicroVET.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Anexo D — Rúbrica T3.3, matriz de asignación cruzada y base de datos de evaluaciones.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42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E7C8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6242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A72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2026-06-22T13:28:45.464Z</dcterms:created>
  <dcterms:modified xsi:type="dcterms:W3CDTF">2026-06-22T13:28:45.464Z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