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42B7" w14:textId="77777777" w:rsidR="00321687" w:rsidRPr="00C24206" w:rsidRDefault="002958A9" w:rsidP="00761A93">
      <w:pPr>
        <w:spacing w:after="40"/>
        <w:jc w:val="both"/>
        <w:rPr>
          <w:lang w:val="es-AR"/>
        </w:rPr>
      </w:pPr>
      <w:r w:rsidRPr="00C24206">
        <w:rPr>
          <w:b/>
          <w:color w:val="0B2545"/>
          <w:sz w:val="44"/>
          <w:lang w:val="es-AR"/>
        </w:rPr>
        <w:t>Estudio Rinaldi - Reescritura de textos web</w:t>
      </w:r>
    </w:p>
    <w:p w14:paraId="6ACD4CC1" w14:textId="24355723" w:rsidR="00321687" w:rsidRPr="00C24206" w:rsidRDefault="00321687" w:rsidP="00761A93">
      <w:pPr>
        <w:spacing w:after="240"/>
        <w:jc w:val="both"/>
        <w:rPr>
          <w:lang w:val="es-AR"/>
        </w:rPr>
      </w:pPr>
    </w:p>
    <w:p w14:paraId="165276E6" w14:textId="77777777" w:rsidR="00321687" w:rsidRPr="008235A3" w:rsidRDefault="002958A9" w:rsidP="00761A93">
      <w:pPr>
        <w:pStyle w:val="Ttulo1"/>
        <w:jc w:val="both"/>
        <w:rPr>
          <w:lang w:val="es-AR"/>
        </w:rPr>
      </w:pPr>
      <w:r w:rsidRPr="008235A3">
        <w:rPr>
          <w:lang w:val="es-AR"/>
        </w:rPr>
        <w:t>Mensaje principal para Home</w:t>
      </w:r>
    </w:p>
    <w:p w14:paraId="74A81B63" w14:textId="77777777" w:rsidR="00321687" w:rsidRPr="008235A3" w:rsidRDefault="002958A9" w:rsidP="00761A93">
      <w:pPr>
        <w:spacing w:before="40" w:after="40"/>
        <w:jc w:val="both"/>
        <w:rPr>
          <w:lang w:val="es-AR"/>
        </w:rPr>
      </w:pPr>
      <w:r w:rsidRPr="008235A3">
        <w:rPr>
          <w:b/>
          <w:color w:val="1F4D78"/>
          <w:lang w:val="es-AR"/>
        </w:rPr>
        <w:t>Titular sugerido</w:t>
      </w:r>
    </w:p>
    <w:p w14:paraId="307B9502" w14:textId="610BAAA9" w:rsidR="008235A3" w:rsidRDefault="008235A3" w:rsidP="00761A93">
      <w:pPr>
        <w:spacing w:before="40" w:after="40"/>
        <w:jc w:val="both"/>
        <w:rPr>
          <w:lang w:val="es-ES"/>
        </w:rPr>
      </w:pPr>
      <w:r w:rsidRPr="0035491D">
        <w:rPr>
          <w:lang w:val="es-ES"/>
        </w:rPr>
        <w:t xml:space="preserve">Acompañamos desde hace más de </w:t>
      </w:r>
      <w:r>
        <w:rPr>
          <w:lang w:val="es-ES"/>
        </w:rPr>
        <w:t xml:space="preserve">setenta </w:t>
      </w:r>
      <w:r w:rsidRPr="0035491D">
        <w:rPr>
          <w:lang w:val="es-ES"/>
        </w:rPr>
        <w:t>años a empresas y personas en sus decisiones legales más relevantes.</w:t>
      </w:r>
    </w:p>
    <w:p w14:paraId="245D4D79" w14:textId="77777777" w:rsidR="00321687" w:rsidRPr="008235A3" w:rsidRDefault="002958A9" w:rsidP="00761A93">
      <w:pPr>
        <w:spacing w:before="40" w:after="40"/>
        <w:jc w:val="both"/>
        <w:rPr>
          <w:lang w:val="es-AR"/>
        </w:rPr>
      </w:pPr>
      <w:r w:rsidRPr="008235A3">
        <w:rPr>
          <w:b/>
          <w:color w:val="1F4D78"/>
          <w:lang w:val="es-AR"/>
        </w:rPr>
        <w:t>Texto de apoyo</w:t>
      </w:r>
    </w:p>
    <w:p w14:paraId="2A71D374" w14:textId="065A18B5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 xml:space="preserve">Con más de 70 años de trayectoria, Estudio Rinaldi combina experiencia jurídica, conocimiento del mercado y atención directa de sus socios para ofrecer soluciones legales claras, ágiles y orientadas a generar valor, tanto en la actividad empresarial como en la estructuración de negocios y </w:t>
      </w:r>
      <w:r w:rsidR="008235A3">
        <w:rPr>
          <w:lang w:val="es-AR"/>
        </w:rPr>
        <w:t>en la planificación patrimonial de sus clientes</w:t>
      </w:r>
      <w:r w:rsidRPr="008235A3">
        <w:rPr>
          <w:lang w:val="es-AR"/>
        </w:rPr>
        <w:t>.</w:t>
      </w:r>
    </w:p>
    <w:p w14:paraId="6BC9E154" w14:textId="77777777" w:rsidR="00321687" w:rsidRPr="008235A3" w:rsidRDefault="002958A9" w:rsidP="00761A93">
      <w:pPr>
        <w:pStyle w:val="Ttulo1"/>
        <w:jc w:val="both"/>
        <w:rPr>
          <w:lang w:val="es-AR"/>
        </w:rPr>
      </w:pPr>
      <w:r w:rsidRPr="008235A3">
        <w:rPr>
          <w:lang w:val="es-AR"/>
        </w:rPr>
        <w:t>Quiénes somos</w:t>
      </w:r>
    </w:p>
    <w:p w14:paraId="3AD64BB4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Somos un estudio jurídico multidisciplinario con más de 70 años de experiencia en el asesoramiento a clientes locales e internacionales. Acompañamos a empresas de distintos tamaños, desde compañías multinacionales hasta startups y empresas familiares, en el desarrollo, operación y reorganización de sus actividades comerciales.</w:t>
      </w:r>
    </w:p>
    <w:p w14:paraId="4A22F95A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También asesoramos a personas físicas y familias en la estructuración de negocios personales, la organización de activos, la planificación patrimonial y la sucesión familiar. Nuestra práctica se distingue por la atención personal de socios con trayectoria en sus respectivas áreas, la calidad técnica del servicio y una respuesta ágil, práctica y enfocada en resultados.</w:t>
      </w:r>
    </w:p>
    <w:p w14:paraId="3AC4DE0B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 lo largo de nuestra historia hemos forjado vínculos profesionales con estudios jurídicos de renombre en otras jurisdicciones, incluyendo Nueva York, Londres, Santiago de Chile y Montevideo. Esa red de relaciones nos permite coordinar asuntos complejos con dimensión internacional, integrando el asesoramiento local con la intervención de especialistas confiables en cada jurisdicción relevante.</w:t>
      </w:r>
    </w:p>
    <w:p w14:paraId="2D871880" w14:textId="77777777" w:rsidR="00321687" w:rsidRPr="008235A3" w:rsidRDefault="002958A9" w:rsidP="00761A93">
      <w:pPr>
        <w:pStyle w:val="Ttulo1"/>
        <w:jc w:val="both"/>
        <w:rPr>
          <w:lang w:val="es-AR"/>
        </w:rPr>
      </w:pPr>
      <w:r w:rsidRPr="008235A3">
        <w:rPr>
          <w:lang w:val="es-AR"/>
        </w:rPr>
        <w:t>Filosofía de trabajo</w:t>
      </w:r>
    </w:p>
    <w:p w14:paraId="32C3AB6F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Cercanía. Criterio. Alcance.</w:t>
      </w:r>
    </w:p>
    <w:p w14:paraId="17949F5D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Nos involucramos en la realidad de cada cliente para comprender su negocio, su patrimonio, sus prioridades y su contexto. Esa cercanía nos permite anticipar riesgos, ordenar decisiones complejas y diseñar soluciones legales que sean, al mismo tiempo, técnicamente sólidas, comercialmente útiles y consistentes con los objetivos personales o familiares involucrados.</w:t>
      </w:r>
    </w:p>
    <w:p w14:paraId="3BB264B0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Cuando un asunto exige coordinación internacional, articulamos el trabajo con estudios jurídicos de confianza en las jurisdicciones relevantes, manteniendo un rol activo en la estrategia, la comunicación y la coherencia general del asesoramiento.</w:t>
      </w:r>
    </w:p>
    <w:p w14:paraId="45CD8CBA" w14:textId="77777777" w:rsidR="00321687" w:rsidRPr="008235A3" w:rsidRDefault="002958A9" w:rsidP="00761A93">
      <w:pPr>
        <w:pStyle w:val="Ttulo1"/>
        <w:jc w:val="both"/>
        <w:rPr>
          <w:lang w:val="es-AR"/>
        </w:rPr>
      </w:pPr>
      <w:r w:rsidRPr="008235A3">
        <w:rPr>
          <w:lang w:val="es-AR"/>
        </w:rPr>
        <w:lastRenderedPageBreak/>
        <w:t>Áreas de práctica</w:t>
      </w:r>
    </w:p>
    <w:p w14:paraId="799C9EC6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Asesoramiento integral a empresas</w:t>
      </w:r>
    </w:p>
    <w:p w14:paraId="0883FEA8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Actuamos como asesores de confianza en la vida cotidiana y estratégica de nuestros clientes. Nos ocupamos de conocer en profundidad su actividad para acompañarlos desde la diagramación del negocio hasta su implementación, crecimiento, reorganización o eventual resolución de conflictos.</w:t>
      </w:r>
    </w:p>
    <w:p w14:paraId="4ACD15B9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Trabajamos con compañías locales y extranjeras, pymes, startups, grupos familiares y grandes corporaciones. Nuestro enfoque combina criterio jurídico y mirada comercial para brindar respuestas personalizadas y orientadas a la concreción de proyectos.</w:t>
      </w:r>
    </w:p>
    <w:p w14:paraId="38C737DE" w14:textId="3D6FC82E" w:rsidR="00321687" w:rsidRPr="008235A3" w:rsidRDefault="00F724D9" w:rsidP="00761A93">
      <w:pPr>
        <w:pStyle w:val="Ttulo2"/>
        <w:jc w:val="both"/>
        <w:rPr>
          <w:lang w:val="es-AR"/>
        </w:rPr>
      </w:pPr>
      <w:r>
        <w:rPr>
          <w:lang w:val="es-AR"/>
        </w:rPr>
        <w:t>Derecho corporativo, s</w:t>
      </w:r>
      <w:r w:rsidR="002958A9" w:rsidRPr="008235A3">
        <w:rPr>
          <w:lang w:val="es-AR"/>
        </w:rPr>
        <w:t>ociedades, fusiones y adquisiciones</w:t>
      </w:r>
    </w:p>
    <w:p w14:paraId="5B32FDCA" w14:textId="77777777" w:rsidR="00F724D9" w:rsidRDefault="00F724D9" w:rsidP="00F724D9">
      <w:pPr>
        <w:jc w:val="both"/>
        <w:rPr>
          <w:lang w:val="es-ES_tradnl"/>
        </w:rPr>
      </w:pPr>
      <w:r>
        <w:rPr>
          <w:lang w:val="es-ES_tradnl"/>
        </w:rPr>
        <w:t xml:space="preserve">Brindamos asesoramiento integral en materia societaria y corporativa a empresas nacionales e internacionales, acompañándolas en la estructuración, desarrollo y expansión de sus negocios. Nuestra práctica comprende la constitución de sociedades, reorganizaciones empresariales, fusiones y adquisiciones (M&amp;A), escisiones, disoluciones, liquidaciones y demás operaciones corporativas complejas. </w:t>
      </w:r>
    </w:p>
    <w:p w14:paraId="6586E938" w14:textId="77777777" w:rsidR="00F724D9" w:rsidRDefault="00F724D9" w:rsidP="00F724D9">
      <w:pPr>
        <w:jc w:val="both"/>
        <w:rPr>
          <w:lang w:val="es-ES_tradnl"/>
        </w:rPr>
      </w:pPr>
      <w:r>
        <w:rPr>
          <w:lang w:val="es-ES_tradnl"/>
        </w:rPr>
        <w:t>Contamos con amplia experiencia en la asistencia a inversores extranjeros en su ingreso y desarrollo de operaciones en Argentina, incluyendo la estructuración de inversiones, constitución y registro de vehículos societarios, procesos de due diligence, acuerdos entre accionistas, gobierno corporativo y negociación de contratos comerciales estratégicos.</w:t>
      </w:r>
    </w:p>
    <w:p w14:paraId="4369B74B" w14:textId="77777777" w:rsidR="00F724D9" w:rsidRDefault="00F724D9" w:rsidP="00F724D9">
      <w:pPr>
        <w:jc w:val="both"/>
        <w:rPr>
          <w:lang w:val="es-ES_tradnl"/>
        </w:rPr>
      </w:pPr>
      <w:r>
        <w:rPr>
          <w:lang w:val="es-ES_tradnl"/>
        </w:rPr>
        <w:t>Asimismo, representamos y asesoramos a nuestros clientes ante la Inspección General de Justicia (IGJ), la Comisión Nacional de Valores (CNV) y demás organismos de control y regulación, brindando soluciones legales eficientes que contribuyen a la seguridad jurídica y al crecimiento sostenible de sus negocios.</w:t>
      </w:r>
    </w:p>
    <w:p w14:paraId="72DB4F10" w14:textId="77777777" w:rsidR="00371EAD" w:rsidRPr="00371EAD" w:rsidRDefault="00371EAD" w:rsidP="00371EAD">
      <w:pPr>
        <w:pStyle w:val="Ttulo2"/>
        <w:jc w:val="both"/>
        <w:rPr>
          <w:lang w:val="es-AR"/>
        </w:rPr>
      </w:pPr>
      <w:r w:rsidRPr="00371EAD">
        <w:rPr>
          <w:lang w:val="es-AR"/>
        </w:rPr>
        <w:t>Estructuración de vehículos de inversión en el exterior</w:t>
      </w:r>
    </w:p>
    <w:p w14:paraId="62751F62" w14:textId="77777777" w:rsidR="00371EAD" w:rsidRPr="00371EAD" w:rsidRDefault="00371EAD" w:rsidP="00371EAD">
      <w:pPr>
        <w:jc w:val="both"/>
        <w:rPr>
          <w:lang w:val="es-AR"/>
        </w:rPr>
      </w:pPr>
      <w:r w:rsidRPr="00371EAD">
        <w:rPr>
          <w:lang w:val="es-AR"/>
        </w:rPr>
        <w:t>Asesoramos en el diseño y la implementación de vehículos de inversión en el exterior, articulando los objetivos comerciales, patrimoniales e impositivos de cada cliente. Trabajamos en la constitución de sociedades holding, fondos de inversión, limited partnerships y otras figuras propias de cada jurisdicción, tanto para empresas y grupos económicos como para individuos y familias.</w:t>
      </w:r>
    </w:p>
    <w:p w14:paraId="3D741371" w14:textId="4241D522" w:rsidR="00371EAD" w:rsidRDefault="00371EAD" w:rsidP="00371EAD">
      <w:pPr>
        <w:jc w:val="both"/>
        <w:rPr>
          <w:lang w:val="es-AR"/>
        </w:rPr>
      </w:pPr>
      <w:r w:rsidRPr="00371EAD">
        <w:rPr>
          <w:lang w:val="es-AR"/>
        </w:rPr>
        <w:t>Nuestra práctica comprende la titulización y estructuración de fondos, el armado de vehículos de inversión, la registración de asesores de inversión y el análisis de los aspectos regulatorios, cambiarios y de reporte aplicables en cada caso. Coordinamos el trabajo con estudios y asesores de confianza en las jurisdicciones relevantes, manteniendo un rol activo en la estrategia y en la integración del asesoramiento local e internacional.</w:t>
      </w:r>
    </w:p>
    <w:p w14:paraId="04A45EB9" w14:textId="7A201FE2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Derecho del trabajo y relaciones laborales</w:t>
      </w:r>
    </w:p>
    <w:p w14:paraId="30D29A2D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Asistimos a empresas en la gestión diaria de sus relaciones laborales, desde el soporte a áreas de Recursos Humanos hasta la prevención y resolución de conflictos individuales y colectivos. Buscamos soluciones prácticas, eficientes y alineadas con la operación de cada organización.</w:t>
      </w:r>
    </w:p>
    <w:p w14:paraId="1A718851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lastRenderedPageBreak/>
        <w:t>Nuestro equipo representa a clientes ante organismos de contralor, autoridades administrativas, sindicatos y tribunales, y trabaja junto a las empresas en la identificación de riesgos, implementación de políticas internas y diseño de mecanismos de mitigación.</w:t>
      </w:r>
    </w:p>
    <w:p w14:paraId="10874859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Operaciones inmobiliarias y construcción</w:t>
      </w:r>
    </w:p>
    <w:p w14:paraId="30EF254C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Brindamos asesoramiento en todo el espectro inmobiliario, incluyendo compraventas, locaciones, desarrollos residenciales, industriales y comerciales, estructuras de financiación y proyectos de gran escala.</w:t>
      </w:r>
    </w:p>
    <w:p w14:paraId="61769977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Nuestra práctica comprende acuerdos de inversión y desarrollo, contratos de construcción, fideicomisos, funcionamiento hotelero, zonificación y planificación de proyectos inmobiliarios.</w:t>
      </w:r>
    </w:p>
    <w:p w14:paraId="1DEA67AA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Planificación patrimonial</w:t>
      </w:r>
    </w:p>
    <w:p w14:paraId="44979AC8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Asesoramos a individuos, familias y empresas familiares en la estructuración de activos, la planificación sucesoria y la organización patrimonial de largo plazo. Diseñamos soluciones que contemplan la continuidad empresarial, la protección del patrimonio y la integración de las nuevas generaciones.</w:t>
      </w:r>
    </w:p>
    <w:p w14:paraId="0719C313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Nuestro trabajo incluye protocolos familiares, acuerdos societarios, estructuras fiduciarias y societarias, y diseños de family office personalizados, con análisis coordinado de aspectos legales e impositivos en jurisdicciones locales y extranjeras.</w:t>
      </w:r>
    </w:p>
    <w:p w14:paraId="025D7045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Derecho de familia y sucesiones</w:t>
      </w:r>
    </w:p>
    <w:p w14:paraId="55A8BBAA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Intervenimos en asuntos de familia y sucesiones que requieren sensibilidad, criterio técnico y manejo estratégico de situaciones complejas. Asesoramos en divorcios, liquidación de bienes, compensaciones económicas, prestaciones alimentarias, convenciones matrimoniales y acuerdos entre excónyuges.</w:t>
      </w:r>
    </w:p>
    <w:p w14:paraId="4534563B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También trabajamos en planificación patrimonial familiar, donaciones en vida, testamentos, particiones de bienes y procesos sucesorios, buscando soluciones ordenadas y sostenibles para cada grupo familiar.</w:t>
      </w:r>
    </w:p>
    <w:p w14:paraId="03DCEE61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Derecho civil y litigios patrimoniales</w:t>
      </w:r>
    </w:p>
    <w:p w14:paraId="4DB1A3A7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Intervenimos en conflictos civiles y patrimoniales de clientes individuales, socios, directivos y empresas. Nuestra experiencia incluye desalojos, ejecuciones hipotecarias, reclamos de daños y perjuicios, responsabilidad civil y otros litigios de contenido económico.</w:t>
      </w:r>
    </w:p>
    <w:p w14:paraId="32E02226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Defensa del consumidor y lealtad comercial</w:t>
      </w:r>
    </w:p>
    <w:p w14:paraId="5B8AD588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Asesoramos a empresas en la prevención, gestión y defensa de reclamos vinculados con relaciones de consumo. Revisamos contratos, cláusulas estándar, contratos de adhesión, procesos de recall, responsabilidad por productos y adaptación de estándares internacionales a la normativa argentina.</w:t>
      </w:r>
    </w:p>
    <w:p w14:paraId="782EB86A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También intervenimos en la revisión legal de campañas y piezas publicitarias antes de su lanzamiento, bajo normas de Defensa del Consumidor, Lealtad Comercial y Publicidad. En controversias administrativas o judiciales, contamos con una red de abogados corresponsales en todo el país.</w:t>
      </w:r>
    </w:p>
    <w:p w14:paraId="3365BDEF" w14:textId="71A97F61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lastRenderedPageBreak/>
        <w:t>Derecho bancario</w:t>
      </w:r>
      <w:r w:rsidR="00630575">
        <w:rPr>
          <w:lang w:val="es-AR"/>
        </w:rPr>
        <w:t>, mercado de capitales</w:t>
      </w:r>
      <w:r w:rsidRPr="008235A3">
        <w:rPr>
          <w:lang w:val="es-AR"/>
        </w:rPr>
        <w:t xml:space="preserve"> y finan</w:t>
      </w:r>
      <w:r w:rsidR="00630575">
        <w:rPr>
          <w:lang w:val="es-AR"/>
        </w:rPr>
        <w:t>zas corporativas</w:t>
      </w:r>
    </w:p>
    <w:p w14:paraId="61344460" w14:textId="169EADA9" w:rsidR="00321687" w:rsidRPr="008235A3" w:rsidRDefault="00A474B1" w:rsidP="00761A93">
      <w:pPr>
        <w:jc w:val="both"/>
        <w:rPr>
          <w:lang w:val="es-AR"/>
        </w:rPr>
      </w:pPr>
      <w:r>
        <w:rPr>
          <w:lang w:val="es-AR"/>
        </w:rPr>
        <w:t>Asesoramos a bancos, agentes del mercado de capitales y fintechs en el marco regulatorio aplicable a su actividad, incluyendo normativa del Banco Central de la República Argentina (BCRA), la Comisión Nacional de Valores (CNV), la Unidad de Información Financiera (UIF)</w:t>
      </w:r>
      <w:r w:rsidR="0022134F">
        <w:rPr>
          <w:lang w:val="es-AR"/>
        </w:rPr>
        <w:t>, así como</w:t>
      </w:r>
      <w:r>
        <w:rPr>
          <w:lang w:val="es-AR"/>
        </w:rPr>
        <w:t xml:space="preserve"> las bolsas y mercados. </w:t>
      </w:r>
      <w:r w:rsidR="002958A9" w:rsidRPr="008235A3">
        <w:rPr>
          <w:lang w:val="es-AR"/>
        </w:rPr>
        <w:t xml:space="preserve">Contamos con amplia experiencia en asesoramiento bancario y </w:t>
      </w:r>
      <w:r w:rsidR="00AF4D5F">
        <w:rPr>
          <w:lang w:val="es-AR"/>
        </w:rPr>
        <w:t>del mercado de capitales</w:t>
      </w:r>
      <w:r w:rsidR="002958A9" w:rsidRPr="008235A3">
        <w:rPr>
          <w:lang w:val="es-AR"/>
        </w:rPr>
        <w:t xml:space="preserve">, incluyendo </w:t>
      </w:r>
      <w:r w:rsidR="00AF4D5F">
        <w:rPr>
          <w:lang w:val="es-AR"/>
        </w:rPr>
        <w:t>emisiones de deuda</w:t>
      </w:r>
      <w:r w:rsidR="00AB4349">
        <w:rPr>
          <w:lang w:val="es-AR"/>
        </w:rPr>
        <w:t xml:space="preserve"> y capital</w:t>
      </w:r>
      <w:r w:rsidR="00F8151C">
        <w:rPr>
          <w:lang w:val="es-AR"/>
        </w:rPr>
        <w:t xml:space="preserve"> con oferta pública</w:t>
      </w:r>
      <w:r w:rsidR="00AF4D5F">
        <w:rPr>
          <w:lang w:val="es-AR"/>
        </w:rPr>
        <w:t xml:space="preserve">, </w:t>
      </w:r>
      <w:r w:rsidR="002958A9" w:rsidRPr="008235A3">
        <w:rPr>
          <w:lang w:val="es-AR"/>
        </w:rPr>
        <w:t xml:space="preserve">financiamientos, préstamos a entidades públicas y privadas, garantías, </w:t>
      </w:r>
      <w:r w:rsidR="00AB4349">
        <w:rPr>
          <w:lang w:val="es-AR"/>
        </w:rPr>
        <w:t xml:space="preserve">asesoramiento en materia de </w:t>
      </w:r>
      <w:r w:rsidR="002958A9" w:rsidRPr="008235A3">
        <w:rPr>
          <w:lang w:val="es-AR"/>
        </w:rPr>
        <w:t>régimen cambiario</w:t>
      </w:r>
      <w:r w:rsidR="00AB4349">
        <w:rPr>
          <w:lang w:val="es-AR"/>
        </w:rPr>
        <w:t xml:space="preserve"> (FX)</w:t>
      </w:r>
      <w:r w:rsidR="002958A9" w:rsidRPr="008235A3">
        <w:rPr>
          <w:lang w:val="es-AR"/>
        </w:rPr>
        <w:t>, importaciones y exportaciones,</w:t>
      </w:r>
      <w:r w:rsidR="00444501">
        <w:rPr>
          <w:lang w:val="es-AR"/>
        </w:rPr>
        <w:t xml:space="preserve"> operaciones de financiamiento estructurado,</w:t>
      </w:r>
      <w:r w:rsidR="002958A9" w:rsidRPr="008235A3">
        <w:rPr>
          <w:lang w:val="es-AR"/>
        </w:rPr>
        <w:t xml:space="preserve"> securitización de cartera</w:t>
      </w:r>
      <w:r w:rsidR="00630575">
        <w:rPr>
          <w:lang w:val="es-AR"/>
        </w:rPr>
        <w:t>s</w:t>
      </w:r>
      <w:r w:rsidR="002958A9" w:rsidRPr="008235A3">
        <w:rPr>
          <w:lang w:val="es-AR"/>
        </w:rPr>
        <w:t xml:space="preserve"> y actividad fiduciaria.</w:t>
      </w:r>
      <w:r w:rsidR="00C24206">
        <w:rPr>
          <w:lang w:val="es-AR"/>
        </w:rPr>
        <w:t xml:space="preserve"> </w:t>
      </w:r>
    </w:p>
    <w:p w14:paraId="2D300CD0" w14:textId="131B6936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Asistimos a bancos</w:t>
      </w:r>
      <w:r w:rsidR="005A0F7A">
        <w:rPr>
          <w:lang w:val="es-AR"/>
        </w:rPr>
        <w:t>,</w:t>
      </w:r>
      <w:r w:rsidRPr="008235A3">
        <w:rPr>
          <w:lang w:val="es-AR"/>
        </w:rPr>
        <w:t xml:space="preserve"> </w:t>
      </w:r>
      <w:r w:rsidR="005A0F7A">
        <w:rPr>
          <w:lang w:val="es-AR"/>
        </w:rPr>
        <w:t>proveedores no financieros de crédito</w:t>
      </w:r>
      <w:r w:rsidRPr="008235A3">
        <w:rPr>
          <w:lang w:val="es-AR"/>
        </w:rPr>
        <w:t xml:space="preserve">, así como </w:t>
      </w:r>
      <w:r w:rsidR="00C80875">
        <w:rPr>
          <w:lang w:val="es-AR"/>
        </w:rPr>
        <w:t xml:space="preserve">también a proveedores de servicios de pago </w:t>
      </w:r>
      <w:r w:rsidRPr="008235A3">
        <w:rPr>
          <w:lang w:val="es-AR"/>
        </w:rPr>
        <w:t>en cuestiones operativas, contractuales y regulatorias propias del sector.</w:t>
      </w:r>
    </w:p>
    <w:p w14:paraId="27685DA8" w14:textId="77102D82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 xml:space="preserve">Derecho administrativo y </w:t>
      </w:r>
      <w:r w:rsidR="008235A3">
        <w:rPr>
          <w:lang w:val="es-AR"/>
        </w:rPr>
        <w:t>mercados regulados</w:t>
      </w:r>
    </w:p>
    <w:p w14:paraId="69DDC48E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Brindamos asesoramiento en procedimientos de selección de contratistas, licitaciones públicas, concursos, contrataciones directas, contratos administrativos, restricciones al comercio y actividades reguladas.</w:t>
      </w:r>
    </w:p>
    <w:p w14:paraId="7BCA6335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Representamos a clientes en controversias administrativas, constitucionales y judiciales, y asesoramos en aspectos regulatorios vinculados con fusiones y adquisiciones, servicios públicos, puertos, ferrocarriles, autopistas, aeropuertos, salud, proveedores del Estado, obras públicas e infraestructura.</w:t>
      </w:r>
    </w:p>
    <w:p w14:paraId="1E4CF07A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Compliance e integridad</w:t>
      </w:r>
    </w:p>
    <w:p w14:paraId="08B2347E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Desarrollamos, implementamos y auditamos programas de compliance e integridad, incluyendo análisis de riesgos, códigos y políticas internas, entrenamientos, investigaciones internas y acciones de remediación.</w:t>
      </w:r>
    </w:p>
    <w:p w14:paraId="379473C8" w14:textId="74798072" w:rsidR="00321687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Asesoramos en background checks, due diligence anticorrupción en operaciones de M&amp;A y evaluación de conductas específicas bajo regulaciones locales y extranjeras, incluyendo la FCPA de Estados Unidos y la UK Bribery Act del Reino Unido.</w:t>
      </w:r>
    </w:p>
    <w:p w14:paraId="604C67E6" w14:textId="6748B5CD" w:rsidR="00A32B21" w:rsidRDefault="00A32B21" w:rsidP="00761A93">
      <w:pPr>
        <w:jc w:val="both"/>
        <w:rPr>
          <w:lang w:val="es-AR"/>
        </w:rPr>
      </w:pPr>
      <w:r>
        <w:rPr>
          <w:lang w:val="es-AR"/>
        </w:rPr>
        <w:t>Contamos con experiencia específica en materia de prevención del lavado de activos y el financiamiento del terrorismo (PLA/FT), incluyendo el diseño e implementación de políticas y procedimientos de conocimiento del cliente (KYC), evaluación y segmentación de riesgo, monitoreo de operaciones y elaboración de manuales conforme a los estándares del GAFI y la normativa local. Asesoramos a sujetos obligados en el cumplimiento de sus obligaciones ante la Unidad de Información Financiera (UIF), así como en la gestión de requerimientos y procedimientos sancionatorios.</w:t>
      </w:r>
    </w:p>
    <w:p w14:paraId="6E3AC04A" w14:textId="0F46DBDC" w:rsidR="00A32B21" w:rsidRDefault="00A32B21" w:rsidP="00761A93">
      <w:pPr>
        <w:jc w:val="both"/>
        <w:rPr>
          <w:lang w:val="es-AR"/>
        </w:rPr>
      </w:pPr>
      <w:r>
        <w:rPr>
          <w:lang w:val="es-AR"/>
        </w:rPr>
        <w:t>En materia de transparencia fiscal internacional, asesoramos a entidades financieras, fiduciarios y contribuyentes en el cumplimiento de los regímenes FATCA (Foreign Account Tax Compliance Act) y del Estándar Común de Reporte (CRS) de la OCDE. Nuestra práctica incluye la clasificación de entidades e inversores, la revisión de procedimientos de debida diligencia, y el asesoramiento en los procesos de reporte e intercambio automático de información entre jurisdicciones.</w:t>
      </w:r>
    </w:p>
    <w:p w14:paraId="552A875D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lastRenderedPageBreak/>
        <w:t>Derecho deportivo</w:t>
      </w:r>
    </w:p>
    <w:p w14:paraId="5B97CE1B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Acompañamos a clubes, deportistas, representantes, sponsors, inversores y actores del ecosistema deportivo en la estructuración de sus negocios, contratos y disputas. Nuestra práctica incluye negociación de contratos, derechos televisivos, licencias, marketing, sponsoreo, producción de eventos y reclamos ante organismos nacionales e internacionales.</w:t>
      </w:r>
    </w:p>
    <w:p w14:paraId="69CABB0C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Hemos intervenido en litigios internacionales vinculados con derecho deportivo, aportando experiencia técnica y comprensión del funcionamiento comercial del sector.</w:t>
      </w:r>
    </w:p>
    <w:p w14:paraId="2176A203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Oil &amp; Gas</w:t>
      </w:r>
    </w:p>
    <w:p w14:paraId="288E59F2" w14:textId="77777777" w:rsidR="00E53301" w:rsidRDefault="00E53301" w:rsidP="00E53301">
      <w:pPr>
        <w:jc w:val="both"/>
        <w:rPr>
          <w:lang w:val="es-ES_tradnl"/>
        </w:rPr>
      </w:pPr>
      <w:r>
        <w:rPr>
          <w:lang w:val="es-ES_tradnl"/>
        </w:rPr>
        <w:t>Nuestra área de Oil &amp; Gas brinda asesoramiento integral a empresas nacionales e internacionales que desarrollan actividades en los sectores hidrocarburífero, gasífero y petroquímico, acompañándolas en todas las etapas de la cadena de valor de la industria, incluyendo actividades de exploración y producción (upstream), transporte, tratamiento y almacenamiento (midstream), así como refinación, procesamiento, comercialización y distribución de petróleo, gas natural y sus derivados (downstream).</w:t>
      </w:r>
    </w:p>
    <w:p w14:paraId="17D760B1" w14:textId="77777777" w:rsidR="00E53301" w:rsidRDefault="00E53301" w:rsidP="00E53301">
      <w:pPr>
        <w:jc w:val="both"/>
        <w:rPr>
          <w:lang w:val="es-ES_tradnl"/>
        </w:rPr>
      </w:pPr>
      <w:r>
        <w:rPr>
          <w:lang w:val="es-ES_tradnl"/>
        </w:rPr>
        <w:t>Contamos con amplia experiencia en el asesoramiento legal vinculado a procesos licitatorios para la adjudicación de áreas hidrocarburíferas, negociación e implementación de Joint Operating Agreements (JOA), constitución de Uniones Transitorias de Empresas (UTE), contratos de operación conjunta y demás acuerdos propios de la industria energética. Asimismo, asistimos a nuestros clientes en la obtención de permisos, autorizaciones, servidumbres administrativas y demás cuestiones regulatorias necesarias para el desarrollo de proyectos energéticos y petroquímicos.</w:t>
      </w:r>
    </w:p>
    <w:p w14:paraId="265627E5" w14:textId="77777777" w:rsidR="00E53301" w:rsidRPr="0094542C" w:rsidRDefault="00E53301" w:rsidP="00E53301">
      <w:pPr>
        <w:jc w:val="both"/>
        <w:rPr>
          <w:lang w:val="es-ES_tradnl"/>
        </w:rPr>
      </w:pPr>
      <w:r>
        <w:rPr>
          <w:lang w:val="es-ES_tradnl"/>
        </w:rPr>
        <w:t xml:space="preserve">Brindamos asesoramiento y representación ante organismos nacionales, provinciales y entes reguladores competentes, incluyendo la Secretaría de Energía de la Nación, el Ente Nacional Regulador del Gas (ENARGAS), el Ente Nacional Regulador de la Electricidad (ENRE), autoridades hidrocarburíferas provinciales y demás autoridades de aplicación, garantizando el cumplimiento de los marcos normativos aplicables a la actividad hidrocarburífera, gasífera y petroquímica. </w:t>
      </w:r>
    </w:p>
    <w:p w14:paraId="212C1439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Fintech y activos digitales</w:t>
      </w:r>
    </w:p>
    <w:p w14:paraId="33109045" w14:textId="1E81F916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Acompañamos a empresas y personas vinculadas con el ecosistema fintech, cripto y de activos digitales. Asesoramos en modelos de prestación de servicios financieros a través de medios tecnológicos, tanto en estructuras reguladas como no reguladas</w:t>
      </w:r>
      <w:r w:rsidR="00C80875">
        <w:rPr>
          <w:lang w:val="es-AR"/>
        </w:rPr>
        <w:t>, y asistimos en materia regulatoria a los Proveedores de Servicios de Activos Virtuales.</w:t>
      </w:r>
    </w:p>
    <w:p w14:paraId="1D7B7E6F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Nuestra experiencia incluye trading, minería de criptomonedas, tokenización, estructuración societaria, contratos, cumplimiento regulatorio y análisis de riesgos legales asociados a modelos de negocio innovadores.</w:t>
      </w:r>
    </w:p>
    <w:p w14:paraId="25AE3A39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Protección de datos y privacidad</w:t>
      </w:r>
    </w:p>
    <w:p w14:paraId="27FC64A4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Asesoramos en gestión, cumplimiento y protección de datos personales bajo normativa local e internacional. Nuestro enfoque es práctico y orientado a que las empresas puedan operar, crecer y gestionar información de manera segura y responsable.</w:t>
      </w:r>
    </w:p>
    <w:p w14:paraId="18ADA971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lastRenderedPageBreak/>
        <w:t>Intervenimos en inscripción de bases de datos, transferencias internacionales, análisis de bases legales para el tratamiento de datos y definición de obligaciones de responsables y encargados.</w:t>
      </w:r>
    </w:p>
    <w:p w14:paraId="594A20ED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Streamers, influencers y economía digital</w:t>
      </w:r>
    </w:p>
    <w:p w14:paraId="0BDE0BE0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Acompañamos a agencias de publicidad digital, streamings, talentos, influencers y actores de la economía digital en la estructuración legal y comercial de sus actividades. Asesoramos en contratos, acuerdos de representación, campañas, monetización, organización societaria y relaciones con marcas y plataformas.</w:t>
      </w:r>
    </w:p>
    <w:p w14:paraId="607A59CE" w14:textId="77777777" w:rsidR="00321687" w:rsidRPr="008235A3" w:rsidRDefault="002958A9" w:rsidP="00761A93">
      <w:pPr>
        <w:pStyle w:val="Ttulo2"/>
        <w:jc w:val="both"/>
        <w:rPr>
          <w:lang w:val="es-AR"/>
        </w:rPr>
      </w:pPr>
      <w:r w:rsidRPr="008235A3">
        <w:rPr>
          <w:lang w:val="es-AR"/>
        </w:rPr>
        <w:t>Gestión de cobranza</w:t>
      </w:r>
    </w:p>
    <w:p w14:paraId="50D40DF9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Ofrecemos un servicio integral de gestión de cobranza que abarca créditos corrientes, mora temprana y mora avanzada. Combinamos gestión operativa y criterio jurídico para diseñar estrategias de recupero eficaces, reducir costos y preservar el valor del crédito.</w:t>
      </w:r>
    </w:p>
    <w:p w14:paraId="7228F700" w14:textId="77777777" w:rsidR="00321687" w:rsidRPr="008235A3" w:rsidRDefault="002958A9" w:rsidP="00761A93">
      <w:pPr>
        <w:jc w:val="both"/>
        <w:rPr>
          <w:lang w:val="es-AR"/>
        </w:rPr>
      </w:pPr>
      <w:r w:rsidRPr="008235A3">
        <w:rPr>
          <w:lang w:val="es-AR"/>
        </w:rPr>
        <w:t>Nuestro equipo analiza las implicancias legales de cada obligación incumplida y asesora sobre alternativas extrajudiciales y judiciales de recupero.</w:t>
      </w:r>
    </w:p>
    <w:p w14:paraId="0CF03054" w14:textId="42AECECF" w:rsidR="00321687" w:rsidRPr="00C24206" w:rsidRDefault="00321687" w:rsidP="00761A93">
      <w:pPr>
        <w:jc w:val="both"/>
        <w:rPr>
          <w:lang w:val="es-AR"/>
        </w:rPr>
      </w:pPr>
    </w:p>
    <w:sectPr w:rsidR="00321687" w:rsidRPr="00C24206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716B5" w14:textId="77777777" w:rsidR="00445B5B" w:rsidRDefault="00445B5B">
      <w:pPr>
        <w:spacing w:after="0" w:line="240" w:lineRule="auto"/>
      </w:pPr>
      <w:r>
        <w:separator/>
      </w:r>
    </w:p>
  </w:endnote>
  <w:endnote w:type="continuationSeparator" w:id="0">
    <w:p w14:paraId="25E74789" w14:textId="77777777" w:rsidR="00445B5B" w:rsidRDefault="00445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2561D" w14:textId="77777777" w:rsidR="00445B5B" w:rsidRDefault="00445B5B">
      <w:pPr>
        <w:spacing w:after="0" w:line="240" w:lineRule="auto"/>
      </w:pPr>
      <w:r>
        <w:separator/>
      </w:r>
    </w:p>
  </w:footnote>
  <w:footnote w:type="continuationSeparator" w:id="0">
    <w:p w14:paraId="2ADEB1AF" w14:textId="77777777" w:rsidR="00445B5B" w:rsidRDefault="00445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380924">
    <w:abstractNumId w:val="8"/>
  </w:num>
  <w:num w:numId="2" w16cid:durableId="298851813">
    <w:abstractNumId w:val="6"/>
  </w:num>
  <w:num w:numId="3" w16cid:durableId="1985162516">
    <w:abstractNumId w:val="5"/>
  </w:num>
  <w:num w:numId="4" w16cid:durableId="1741757325">
    <w:abstractNumId w:val="4"/>
  </w:num>
  <w:num w:numId="5" w16cid:durableId="1118721639">
    <w:abstractNumId w:val="7"/>
  </w:num>
  <w:num w:numId="6" w16cid:durableId="862936484">
    <w:abstractNumId w:val="3"/>
  </w:num>
  <w:num w:numId="7" w16cid:durableId="2023311793">
    <w:abstractNumId w:val="2"/>
  </w:num>
  <w:num w:numId="8" w16cid:durableId="1266812970">
    <w:abstractNumId w:val="1"/>
  </w:num>
  <w:num w:numId="9" w16cid:durableId="79340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B1A"/>
    <w:rsid w:val="00034616"/>
    <w:rsid w:val="0006063C"/>
    <w:rsid w:val="0008349D"/>
    <w:rsid w:val="0015074B"/>
    <w:rsid w:val="001C4439"/>
    <w:rsid w:val="001F7F8A"/>
    <w:rsid w:val="0022134F"/>
    <w:rsid w:val="00243ECD"/>
    <w:rsid w:val="002958A9"/>
    <w:rsid w:val="0029639D"/>
    <w:rsid w:val="002C3B36"/>
    <w:rsid w:val="002E4809"/>
    <w:rsid w:val="002E4D19"/>
    <w:rsid w:val="00321687"/>
    <w:rsid w:val="00326F90"/>
    <w:rsid w:val="00371EAD"/>
    <w:rsid w:val="00424D44"/>
    <w:rsid w:val="004408AA"/>
    <w:rsid w:val="00444501"/>
    <w:rsid w:val="00445B5B"/>
    <w:rsid w:val="00475C43"/>
    <w:rsid w:val="005A0F7A"/>
    <w:rsid w:val="00630575"/>
    <w:rsid w:val="0071579B"/>
    <w:rsid w:val="00736597"/>
    <w:rsid w:val="00761A93"/>
    <w:rsid w:val="007F36DD"/>
    <w:rsid w:val="00820755"/>
    <w:rsid w:val="008235A3"/>
    <w:rsid w:val="009560A8"/>
    <w:rsid w:val="0098422B"/>
    <w:rsid w:val="00A32B21"/>
    <w:rsid w:val="00A474B1"/>
    <w:rsid w:val="00AA1D8D"/>
    <w:rsid w:val="00AB4349"/>
    <w:rsid w:val="00AF4D5F"/>
    <w:rsid w:val="00B47730"/>
    <w:rsid w:val="00C24206"/>
    <w:rsid w:val="00C80875"/>
    <w:rsid w:val="00CB0664"/>
    <w:rsid w:val="00D02E1A"/>
    <w:rsid w:val="00DE365B"/>
    <w:rsid w:val="00E53301"/>
    <w:rsid w:val="00F07DD2"/>
    <w:rsid w:val="00F724D9"/>
    <w:rsid w:val="00F81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AEADC"/>
  <w14:defaultImageDpi w14:val="300"/>
  <w15:docId w15:val="{467120B3-4D5B-4566-998D-9B7F6E61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20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761A93"/>
    <w:pPr>
      <w:spacing w:after="0" w:line="240" w:lineRule="auto"/>
    </w:pPr>
    <w:rPr>
      <w:rFonts w:ascii="Calibri" w:eastAsia="Calibri" w:hAnsi="Calibri"/>
      <w:color w:val="2020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2290</Words>
  <Characters>12600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Estudio Rinaldi - Reescritura de textos web</vt:lpstr>
      <vt:lpstr/>
    </vt:vector>
  </TitlesOfParts>
  <Manager/>
  <Company/>
  <LinksUpToDate>false</LinksUpToDate>
  <CharactersWithSpaces>14861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Rinaldi - Reescritura de textos web</dc:title>
  <dc:subject>Textos institucionales y áreas de práctica</dc:subject>
  <dc:creator>OpenAI Codex</dc:creator>
  <cp:keywords/>
  <dc:description>generated by python-docx</dc:description>
  <cp:lastModifiedBy>Juan Naveira</cp:lastModifiedBy>
  <cp:revision>4</cp:revision>
  <dcterms:created xsi:type="dcterms:W3CDTF">2026-06-03T16:53:00Z</dcterms:created>
  <dcterms:modified xsi:type="dcterms:W3CDTF">2026-06-05T13:25:00Z</dcterms:modified>
  <cp:category/>
</cp:coreProperties>
</file>