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480" w:line="240" w:lineRule="auto"/>
        <w:ind w:firstLine="0"/>
        <w:jc w:val="center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C</w:t>
      </w: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ARACTERIZACIÓN DE MÉTRICAS DE COMPLEJIDAD PARA OPTIMIZAR ESTRATEGIAS DE PSQA EN RADIOTERAPIA IMRT Y VMAT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Joaquin Palacio 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Federico Bregains 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1 </w:t>
      </w:r>
      <w:r w:rsidDel="00000000" w:rsidR="00000000" w:rsidRPr="00000000">
        <w:rPr>
          <w:sz w:val="20"/>
          <w:szCs w:val="20"/>
          <w:rtl w:val="0"/>
        </w:rPr>
        <w:t xml:space="preserve">Facultad de Ingeniería, Universidad Nacional de Entre Ríos (UNER), Oro Verde,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/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2 </w:t>
      </w:r>
      <w:r w:rsidDel="00000000" w:rsidR="00000000" w:rsidRPr="00000000">
        <w:rPr>
          <w:sz w:val="20"/>
          <w:szCs w:val="20"/>
          <w:rtl w:val="0"/>
        </w:rPr>
        <w:t xml:space="preserve">Centro de Medicina Nuclear y Radioterapia de Entre Ríos (CEMENER), Paraná,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10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Autor de contacto: Joaquin Palacio (e-mail: joaquin.palacio@uner.edu.ar).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0" w:line="240" w:lineRule="auto"/>
        <w:jc w:val="both"/>
        <w:rPr/>
      </w:pPr>
      <w:r w:rsidDel="00000000" w:rsidR="00000000" w:rsidRPr="00000000">
        <w:rPr>
          <w:b w:val="1"/>
          <w:bCs w:val="1"/>
          <w:color w:val="2e74b5"/>
          <w:sz w:val="20"/>
          <w:szCs w:val="20"/>
          <w:rtl w:val="0"/>
        </w:rPr>
        <w:t xml:space="preserve">INTRODUCCIÓN.</w:t>
      </w:r>
      <w:r w:rsidDel="00000000" w:rsidR="00000000" w:rsidRPr="00000000">
        <w:rPr>
          <w:sz w:val="20"/>
          <w:szCs w:val="20"/>
          <w:rtl w:val="0"/>
        </w:rPr>
        <w:t xml:space="preserve"> La radioterapia de intensidad modulada (IMRT) y la terapia de arco volumétrico modulado (VMAT) permiten </w:t>
      </w:r>
      <w:r w:rsidDel="00000000" w:rsidR="00000000" w:rsidRPr="00000000">
        <w:rPr>
          <w:rtl w:val="0"/>
        </w:rPr>
        <w:t xml:space="preserve">conformar la distribución de dosis</w:t>
      </w:r>
      <w:r w:rsidDel="00000000" w:rsidR="00000000" w:rsidRPr="00000000">
        <w:rPr>
          <w:sz w:val="20"/>
          <w:szCs w:val="20"/>
          <w:rtl w:val="0"/>
        </w:rPr>
        <w:t xml:space="preserve"> al volumen tumoral con alta precisión, protegiendo eficazmente los tejidos sanos circundantes. Sin embargo, </w:t>
      </w:r>
      <w:r w:rsidDel="00000000" w:rsidR="00000000" w:rsidRPr="00000000">
        <w:rPr>
          <w:rtl w:val="0"/>
        </w:rPr>
        <w:t xml:space="preserve">esto implica una mayor </w:t>
      </w:r>
      <w:r w:rsidDel="00000000" w:rsidR="00000000" w:rsidRPr="00000000">
        <w:rPr>
          <w:sz w:val="20"/>
          <w:szCs w:val="20"/>
          <w:rtl w:val="0"/>
        </w:rPr>
        <w:t xml:space="preserve">complejidad técnica</w:t>
      </w:r>
      <w:r w:rsidDel="00000000" w:rsidR="00000000" w:rsidRPr="00000000">
        <w:rPr>
          <w:rtl w:val="0"/>
        </w:rPr>
        <w:t xml:space="preserve">, lo que se traduce en una aumento tanto en la exigencia mecánica sobre el colimador multiláminas (MLC) como en la susceptibilidad a errores de entrega, </w:t>
      </w:r>
      <w:r w:rsidDel="00000000" w:rsidR="00000000" w:rsidRPr="00000000">
        <w:rPr>
          <w:sz w:val="20"/>
          <w:szCs w:val="20"/>
          <w:rtl w:val="0"/>
        </w:rPr>
        <w:t xml:space="preserve">haciendo imprescindible el control de calidad específico de plan (PSQA por sus siglas en ingl</w:t>
      </w:r>
      <w:r w:rsidDel="00000000" w:rsidR="00000000" w:rsidRPr="00000000">
        <w:rPr>
          <w:rtl w:val="0"/>
        </w:rPr>
        <w:t xml:space="preserve">és</w:t>
      </w:r>
      <w:r w:rsidDel="00000000" w:rsidR="00000000" w:rsidRPr="00000000">
        <w:rPr>
          <w:sz w:val="20"/>
          <w:szCs w:val="20"/>
          <w:rtl w:val="0"/>
        </w:rPr>
        <w:t xml:space="preserve">). </w:t>
      </w:r>
      <w:r w:rsidDel="00000000" w:rsidR="00000000" w:rsidRPr="00000000">
        <w:rPr>
          <w:sz w:val="20"/>
          <w:szCs w:val="20"/>
          <w:rtl w:val="0"/>
        </w:rPr>
        <w:t xml:space="preserve">La evaluación del PSQA se realiza habitualmente mediante el análisis gamma </w:t>
      </w:r>
      <m:oMath>
        <m:r>
          <w:rPr/>
          <m:t xml:space="preserve">(</m:t>
        </m:r>
        <m:r>
          <w:rPr/>
          <m:t>Γ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recomendado</w:t>
      </w:r>
      <w:r w:rsidDel="00000000" w:rsidR="00000000" w:rsidRPr="00000000">
        <w:rPr>
          <w:sz w:val="20"/>
          <w:szCs w:val="20"/>
          <w:rtl w:val="0"/>
        </w:rPr>
        <w:t xml:space="preserve"> por el TG-218 de la AAPM (</w:t>
      </w:r>
      <w:r w:rsidDel="00000000" w:rsidR="00000000" w:rsidRPr="00000000">
        <w:rPr>
          <w:sz w:val="20"/>
          <w:szCs w:val="20"/>
          <w:rtl w:val="0"/>
        </w:rPr>
        <w:t xml:space="preserve">Miften</w:t>
      </w:r>
      <w:r w:rsidDel="00000000" w:rsidR="00000000" w:rsidRPr="00000000">
        <w:rPr>
          <w:sz w:val="20"/>
          <w:szCs w:val="20"/>
          <w:rtl w:val="0"/>
        </w:rPr>
        <w:t xml:space="preserve"> et al., 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28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PSQA puede llevarse a cabo mediante distintos métodos: </w:t>
      </w:r>
      <w:r w:rsidDel="00000000" w:rsidR="00000000" w:rsidRPr="00000000">
        <w:rPr>
          <w:sz w:val="20"/>
          <w:szCs w:val="20"/>
          <w:rtl w:val="0"/>
        </w:rPr>
        <w:t xml:space="preserve">dosimetría portal con</w:t>
      </w:r>
      <w:r w:rsidDel="00000000" w:rsidR="00000000" w:rsidRPr="00000000">
        <w:rPr>
          <w:rtl w:val="0"/>
        </w:rPr>
        <w:t xml:space="preserve"> el detector de imágenes portal electrónica (EPID)</w:t>
      </w:r>
      <w:r w:rsidDel="00000000" w:rsidR="00000000" w:rsidRPr="00000000">
        <w:rPr>
          <w:sz w:val="20"/>
          <w:szCs w:val="20"/>
          <w:rtl w:val="0"/>
        </w:rPr>
        <w:t xml:space="preserve">, detectores matriciales (ArcCHECK, Delta4), </w:t>
      </w:r>
      <w:r w:rsidDel="00000000" w:rsidR="00000000" w:rsidRPr="00000000">
        <w:rPr>
          <w:rtl w:val="0"/>
        </w:rPr>
        <w:t xml:space="preserve">cálculo independiente de dosis</w:t>
      </w:r>
      <w:r w:rsidDel="00000000" w:rsidR="00000000" w:rsidRPr="00000000">
        <w:rPr>
          <w:sz w:val="20"/>
          <w:szCs w:val="20"/>
          <w:rtl w:val="0"/>
        </w:rPr>
        <w:t xml:space="preserve"> o análisis de archivos de registro del acelerador (log f</w:t>
      </w:r>
      <w:r w:rsidDel="00000000" w:rsidR="00000000" w:rsidRPr="00000000">
        <w:rPr>
          <w:rtl w:val="0"/>
        </w:rPr>
        <w:t xml:space="preserve">iles)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  <w:t xml:space="preserve">En la práctica clínica la elección suele ser uniforme e independiente del plan, lo que puede resultar en una asignación subóptima de recursos y esfuerzo dosimétrico. La selección del método debería contemplar la complejidad intrínseca del plan, dado que no todos exhiben igual sensibilidad ante errores en planes de alta modulación.</w:t>
      </w:r>
    </w:p>
    <w:p w:rsidR="00000000" w:rsidDel="00000000" w:rsidP="00000000" w:rsidRDefault="00000000" w:rsidRPr="00000000" w14:paraId="00000008">
      <w:pPr>
        <w:spacing w:after="0" w:before="0" w:line="240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Las métricas de complejidad propuestas en la literatura incluyen el Modulation Complexity Score (MCS), que toma valores en [0, 1] donde valores bajos indican alta modulación y mayor complejidad; el Small Aperture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(SAS-10), que cuantifica la proporción del plan entregada con aperturas MLC pequeñas (separación entre láminas opuestas inferior a un umbral), tomando valores en [0, 1]; las Plan Monitor Units (PMU), las unidades monitor totales del plan normalizadas a una fracción de 2 Gy; el recorrido acumulado de las hojas (</w:t>
      </w:r>
      <w:r w:rsidDel="00000000" w:rsidR="00000000" w:rsidRPr="00000000">
        <w:rPr>
          <w:i w:val="1"/>
          <w:iCs w:val="1"/>
          <w:rtl w:val="0"/>
        </w:rPr>
        <w:t xml:space="preserve">Leaf Travel</w:t>
      </w:r>
      <w:r w:rsidDel="00000000" w:rsidR="00000000" w:rsidRPr="00000000">
        <w:rPr>
          <w:rtl w:val="0"/>
        </w:rPr>
        <w:t xml:space="preserve">, LT), que cuantifica la carga mecánica total sobre el MLC; su recorrido máximo (LTmax); y el número de reversiones de dirección (</w:t>
      </w:r>
      <w:r w:rsidDel="00000000" w:rsidR="00000000" w:rsidRPr="00000000">
        <w:rPr>
          <w:i w:val="1"/>
          <w:iCs w:val="1"/>
          <w:rtl w:val="0"/>
        </w:rPr>
        <w:t xml:space="preserve">Reversals</w:t>
      </w:r>
      <w:r w:rsidDel="00000000" w:rsidR="00000000" w:rsidRPr="00000000">
        <w:rPr>
          <w:rtl w:val="0"/>
        </w:rPr>
        <w:t xml:space="preserve">). En estas métricas, valores más elevados se asocian a una mayor complejidad del plan de tratamiento (McNiven et al., 2010; Du et al., 2014; Crowe et al., 2014). La evidencia sobre su correlación con </w:t>
      </w:r>
      <w:r w:rsidDel="00000000" w:rsidR="00000000" w:rsidRPr="00000000">
        <w:rPr>
          <w:rtl w:val="0"/>
        </w:rPr>
        <w:t xml:space="preserve">la tasa de aprobación gamma (GPR) </w:t>
      </w:r>
      <w:r w:rsidDel="00000000" w:rsidR="00000000" w:rsidRPr="00000000">
        <w:rPr>
          <w:rtl w:val="0"/>
        </w:rPr>
        <w:t xml:space="preserve">es heterogénea y depende del contexto institucional (Chiavassa et al., 2019). El objetivo de este trabajo es analizar la correlación entre estas seis métricas y los resultados de dosimetría portal en planes de IMRT y VMAT tratados en CEMENER. El estudio se centra en las zonas anatómicas de próstata y cabeza y cuello (H&amp;N), por ser las que cuentan con un mayor número de planes disponibles.</w:t>
      </w:r>
    </w:p>
    <w:p w:rsidR="00000000" w:rsidDel="00000000" w:rsidP="00000000" w:rsidRDefault="00000000" w:rsidRPr="00000000" w14:paraId="00000009">
      <w:pPr>
        <w:spacing w:after="0" w:before="240" w:line="240" w:lineRule="auto"/>
        <w:jc w:val="both"/>
        <w:rPr/>
      </w:pPr>
      <w:r w:rsidDel="00000000" w:rsidR="00000000" w:rsidRPr="00000000">
        <w:rPr>
          <w:b w:val="1"/>
          <w:bCs w:val="1"/>
          <w:color w:val="2e74b5"/>
          <w:sz w:val="20"/>
          <w:szCs w:val="20"/>
          <w:rtl w:val="0"/>
        </w:rPr>
        <w:t xml:space="preserve">MATERIAL Y MÉTODOS.</w:t>
      </w:r>
      <w:r w:rsidDel="00000000" w:rsidR="00000000" w:rsidRPr="00000000">
        <w:rPr>
          <w:sz w:val="20"/>
          <w:szCs w:val="20"/>
          <w:rtl w:val="0"/>
        </w:rPr>
        <w:t xml:space="preserve"> A partir de una base de 2</w:t>
      </w:r>
      <w:r w:rsidDel="00000000" w:rsidR="00000000" w:rsidRPr="00000000">
        <w:rPr>
          <w:rtl w:val="0"/>
        </w:rPr>
        <w:t xml:space="preserve">74</w:t>
      </w:r>
      <w:r w:rsidDel="00000000" w:rsidR="00000000" w:rsidRPr="00000000">
        <w:rPr>
          <w:sz w:val="20"/>
          <w:szCs w:val="20"/>
          <w:rtl w:val="0"/>
        </w:rPr>
        <w:t xml:space="preserve"> planes irradiados en CEMENER mediante IMRT y VMAT, se seleccionó un subconjunto de </w:t>
      </w:r>
      <w:r w:rsidDel="00000000" w:rsidR="00000000" w:rsidRPr="00000000">
        <w:rPr>
          <w:rtl w:val="0"/>
        </w:rPr>
        <w:t xml:space="preserve">164</w:t>
      </w:r>
      <w:r w:rsidDel="00000000" w:rsidR="00000000" w:rsidRPr="00000000">
        <w:rPr>
          <w:sz w:val="20"/>
          <w:szCs w:val="20"/>
          <w:rtl w:val="0"/>
        </w:rPr>
        <w:t xml:space="preserve"> planes correspondientes a próstata y cabeza y cuello (H&amp;N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. Para cada plan se extrajeron seis métricas de complejidad: MCS (McNiven et al., 2010), SAS-10 (Du et al., 2014), PMU,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Leaf Travel</w:t>
      </w:r>
      <w:r w:rsidDel="00000000" w:rsidR="00000000" w:rsidRPr="00000000">
        <w:rPr>
          <w:sz w:val="20"/>
          <w:szCs w:val="20"/>
          <w:rtl w:val="0"/>
        </w:rPr>
        <w:t xml:space="preserve"> acumulado (LT), LTmax y número de reversiones (</w:t>
      </w:r>
      <w:r w:rsidDel="00000000" w:rsidR="00000000" w:rsidRPr="00000000">
        <w:rPr>
          <w:i w:val="1"/>
          <w:iCs w:val="1"/>
          <w:rtl w:val="0"/>
        </w:rPr>
        <w:t xml:space="preserve">Reversals</w:t>
      </w:r>
      <w:r w:rsidDel="00000000" w:rsidR="00000000" w:rsidRPr="00000000">
        <w:rPr>
          <w:sz w:val="20"/>
          <w:szCs w:val="20"/>
          <w:rtl w:val="0"/>
        </w:rPr>
        <w:t xml:space="preserve">) (Crowe et al., 2014).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285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resultados de PSQA se obtuvieron mediante dosimetría portal (EPID), expresados como GPR con criterio 2%/2 mm</w:t>
      </w:r>
      <w:r w:rsidDel="00000000" w:rsidR="00000000" w:rsidRPr="00000000">
        <w:rPr>
          <w:rtl w:val="0"/>
        </w:rPr>
        <w:t xml:space="preserve"> para cada campo del plan, con esto se calculó el GPR promedio de todos los campos para poder realizar la comparación entre planes con distinto número de campos</w:t>
      </w:r>
      <w:r w:rsidDel="00000000" w:rsidR="00000000" w:rsidRPr="00000000">
        <w:rPr>
          <w:sz w:val="20"/>
          <w:szCs w:val="20"/>
          <w:rtl w:val="0"/>
        </w:rPr>
        <w:t xml:space="preserve">. Tras verificar no normalidad mediante Shapiro-Wilk (p &lt; 0,05 en todas las distribuciones), se empleó el coeficiente de Spearman (ρ) para evaluar la </w:t>
      </w:r>
      <w:r w:rsidDel="00000000" w:rsidR="00000000" w:rsidRPr="00000000">
        <w:rPr>
          <w:rtl w:val="0"/>
        </w:rPr>
        <w:t xml:space="preserve">correlación </w:t>
      </w:r>
      <w:r w:rsidDel="00000000" w:rsidR="00000000" w:rsidRPr="00000000">
        <w:rPr>
          <w:sz w:val="20"/>
          <w:szCs w:val="20"/>
          <w:rtl w:val="0"/>
        </w:rPr>
        <w:t xml:space="preserve">entre cada métrica y el GPR.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Los análisis fueron estratificados en las cuatro combinaciones zona–técnica (H&amp;N–VMAT, H&amp;N–IMRT, Próstata–VMAT, Próstata–IMRT), con α = 0</w:t>
      </w:r>
      <w:r w:rsidDel="00000000" w:rsidR="00000000" w:rsidRPr="00000000">
        <w:rPr>
          <w:rtl w:val="0"/>
        </w:rPr>
        <w:t xml:space="preserve">,05. La Tabla 1 resume las medianas de las métricas y del GPR para los cuatro subgrupos zona–técnica. Se observa un pronunciado efecto techo en el GPR, con alta concentración por encima del 97% (sobre todo en el subgrupo de Próstata/IMRT). Toda la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mplementación fue realizada en Python (pandas, scipy, matplotlib).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RESULTADOS Y DISCUSIÓN.</w:t>
      </w:r>
      <w:r w:rsidDel="00000000" w:rsidR="00000000" w:rsidRPr="00000000">
        <w:rPr>
          <w:rtl w:val="0"/>
        </w:rPr>
        <w:t xml:space="preserve"> La Tabla 1 resume las medianas de las métricas y del GPR promedio para los cuatro subgrupos zona–técnica. Se observa un pronunciado efecto techo en el GPR, con alta concentración por encima del 97%, particularmente en Próstata/IMRT (99,80%).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Tabla 1.</w:t>
      </w:r>
      <w:r w:rsidDel="00000000" w:rsidR="00000000" w:rsidRPr="00000000">
        <w:rPr>
          <w:sz w:val="18"/>
          <w:szCs w:val="18"/>
          <w:rtl w:val="0"/>
        </w:rPr>
        <w:t xml:space="preserve"> Mediana de las seis métricas de complejidad (MCS, SAS-10, PMU, LT, LTmax,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Reversals</w:t>
      </w:r>
      <w:r w:rsidDel="00000000" w:rsidR="00000000" w:rsidRPr="00000000">
        <w:rPr>
          <w:sz w:val="18"/>
          <w:szCs w:val="18"/>
          <w:rtl w:val="0"/>
        </w:rPr>
        <w:t xml:space="preserve">) y del GPR promedio (2%/2 mm) por subgrupo.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00"/>
        <w:gridCol w:w="825"/>
        <w:gridCol w:w="915"/>
        <w:gridCol w:w="915"/>
        <w:gridCol w:w="915"/>
        <w:gridCol w:w="975"/>
        <w:gridCol w:w="855"/>
        <w:gridCol w:w="1470"/>
        <w:tblGridChange w:id="0">
          <w:tblGrid>
            <w:gridCol w:w="1620"/>
            <w:gridCol w:w="300"/>
            <w:gridCol w:w="825"/>
            <w:gridCol w:w="915"/>
            <w:gridCol w:w="915"/>
            <w:gridCol w:w="915"/>
            <w:gridCol w:w="975"/>
            <w:gridCol w:w="855"/>
            <w:gridCol w:w="1470"/>
          </w:tblGrid>
        </w:tblGridChange>
      </w:tblGrid>
      <w:tr>
        <w:trPr>
          <w:cantSplit w:val="0"/>
          <w:trHeight w:val="221.58203124999997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ind w:firstLine="2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Zona / Técnica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SAS-10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PMU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LT[mm]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LTmax[mm]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Reversals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before="2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GPR promedio [%]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H&amp;N / VMAT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97,47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H&amp;N/ IMRT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70261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97,73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Próstata / VMAT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0,347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97,53</w:t>
            </w:r>
          </w:p>
        </w:tc>
      </w:tr>
      <w:tr>
        <w:trPr>
          <w:cantSplit w:val="0"/>
          <w:trHeight w:val="166.58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Próstata/ IMRT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0,094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99,80</w:t>
            </w:r>
          </w:p>
        </w:tc>
      </w:tr>
    </w:tbl>
    <w:p w:rsidR="00000000" w:rsidDel="00000000" w:rsidP="00000000" w:rsidRDefault="00000000" w:rsidRPr="00000000" w14:paraId="0000003A">
      <w:pPr>
        <w:spacing w:after="0" w:before="180" w:lineRule="auto"/>
        <w:ind w:left="0" w:firstLine="283.46456692913375"/>
        <w:jc w:val="both"/>
        <w:rPr/>
      </w:pPr>
      <w:r w:rsidDel="00000000" w:rsidR="00000000" w:rsidRPr="00000000">
        <w:rPr>
          <w:rtl w:val="0"/>
        </w:rPr>
        <w:t xml:space="preserve">El análisis de correlación (Fig. 1) muestra patrones diferenciales entre subgrupos. En H&amp;N–VMAT las correlaciones más fuertes y significativas se observaron con </w:t>
      </w:r>
      <w:r w:rsidDel="00000000" w:rsidR="00000000" w:rsidRPr="00000000">
        <w:rPr>
          <w:i w:val="1"/>
          <w:iCs w:val="1"/>
          <w:rtl w:val="0"/>
        </w:rPr>
        <w:t xml:space="preserve">Reversals</w:t>
      </w:r>
      <w:r w:rsidDel="00000000" w:rsidR="00000000" w:rsidRPr="00000000">
        <w:rPr>
          <w:rFonts w:ascii="Cardo" w:cs="Cardo" w:eastAsia="Cardo" w:hAnsi="Cardo"/>
          <w:rtl w:val="0"/>
        </w:rPr>
        <w:t xml:space="preserve"> (ρ = −0,72), </w:t>
      </w:r>
      <w:r w:rsidDel="00000000" w:rsidR="00000000" w:rsidRPr="00000000">
        <w:rPr>
          <w:i w:val="1"/>
          <w:iCs w:val="1"/>
          <w:rtl w:val="0"/>
        </w:rPr>
        <w:t xml:space="preserve">Leaf Travel </w:t>
      </w:r>
      <w:r w:rsidDel="00000000" w:rsidR="00000000" w:rsidRPr="00000000">
        <w:rPr>
          <w:rFonts w:ascii="Cardo" w:cs="Cardo" w:eastAsia="Cardo" w:hAnsi="Cardo"/>
          <w:rtl w:val="0"/>
        </w:rPr>
        <w:t xml:space="preserve">(ρ = −0,67) y PMU (ρ = −0,44), todas con el signo esperado: mayor complejidad → peor GPR. En H&amp;N–IMRT todas las métricas alcanzaron significancia con magnitudes moderadas (|ρ| entre 0,36 y 0,44). En Próstata–VMAT ninguna correlación fue significativa, posiblemente por el tamaño muestral reducido y el efecto techo en el GPR. En Próstata–IMRT se destaca la correlación positiva con MCS (ρ = +0,50), que se mantiene robusta a pesar del efecto techo del GPR en este subgrupo (mediana = 99,80%) y resulta consistente con la asociación esperada entre menor modulación y mejor desempeño dosimétrico; acompañan SAS-10 (ρ = −0,32) y LTmax (ρ = −0,28).</w:t>
      </w:r>
    </w:p>
    <w:p w:rsidR="00000000" w:rsidDel="00000000" w:rsidP="00000000" w:rsidRDefault="00000000" w:rsidRPr="00000000" w14:paraId="0000003B">
      <w:pPr>
        <w:spacing w:after="240" w:before="0" w:lineRule="auto"/>
        <w:ind w:firstLine="283.46456692913375"/>
        <w:jc w:val="both"/>
        <w:rPr/>
      </w:pPr>
      <w:r w:rsidDel="00000000" w:rsidR="00000000" w:rsidRPr="00000000">
        <w:rPr>
          <w:rtl w:val="0"/>
        </w:rPr>
        <w:t xml:space="preserve">Estos hallazgos son consistentes con reportes previos de correlaciones moderadas y dependientes del contexto institucional (Chiavassa et al., 2019). El contraste entre próstata y H&amp;N advierte sobre la generalización de umbrales de complejidad entre localizaciones y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80" w:lineRule="auto"/>
        <w:ind w:firstLine="284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7703" cy="15272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703" cy="1527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80" w:lineRule="auto"/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1. </w:t>
      </w:r>
      <w:r w:rsidDel="00000000" w:rsidR="00000000" w:rsidRPr="00000000">
        <w:rPr>
          <w:sz w:val="18"/>
          <w:szCs w:val="18"/>
          <w:rtl w:val="0"/>
        </w:rPr>
        <w:t xml:space="preserve">Matriz de coeficientes de correlación de Spearman (</w:t>
      </w:r>
      <m:oMath>
        <m:r>
          <m:t>ρ</m:t>
        </m:r>
      </m:oMath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40" w:line="240" w:lineRule="auto"/>
        <w:jc w:val="both"/>
        <w:rPr/>
      </w:pPr>
      <w:r w:rsidDel="00000000" w:rsidR="00000000" w:rsidRPr="00000000">
        <w:rPr>
          <w:b w:val="1"/>
          <w:bCs w:val="1"/>
          <w:color w:val="2e74b5"/>
          <w:sz w:val="20"/>
          <w:szCs w:val="20"/>
          <w:rtl w:val="0"/>
        </w:rPr>
        <w:t xml:space="preserve">CONCLUSIONES.</w:t>
      </w:r>
      <w:r w:rsidDel="00000000" w:rsidR="00000000" w:rsidRPr="00000000">
        <w:rPr>
          <w:rtl w:val="0"/>
        </w:rPr>
        <w:t xml:space="preserve"> El análisis estadístico de 164 planes de próstata y H&amp;N tratados en CEMENER mediante IMRT y VMAT permitió caracterizar la relación entre seis métricas de complejidad (MCS, SAS-10, PMU, LT, LTmax y Reversals) y los resultados de dosimetría portal (GPR 2%/2 mm). El efecto techo en los valores de GPR constituye la principal limitación metodológica del estudio, dado que diluye la correlación con las métricas analizadas. A pesar de esto, se observaron patrones de correlación entre zonas y técnicas: el MCS mostró capacidad predictiva exclusivamente en planes IMRT (ρ = +0,43 en H&amp;N, +0,50 en próstata), mientras que para las métricas dinámicas de </w:t>
      </w:r>
      <w:r w:rsidDel="00000000" w:rsidR="00000000" w:rsidRPr="00000000">
        <w:rPr>
          <w:i w:val="1"/>
          <w:iCs w:val="1"/>
          <w:rtl w:val="0"/>
        </w:rPr>
        <w:t xml:space="preserve">Leaf Travel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Reversals</w:t>
      </w:r>
      <w:r w:rsidDel="00000000" w:rsidR="00000000" w:rsidRPr="00000000">
        <w:rPr>
          <w:rtl w:val="0"/>
        </w:rPr>
        <w:t xml:space="preserve"> se observó una fuerte correlación en VMAT, especialmente en H&amp;N. El contraste entre los resultados de próstata y H&amp;N sugiere que la selección del método óptimo de PSQA debería ser sensible a la zona anatómica y la técnica empleada, lo que valida el enfoque de análisis estratificado por subgrupos utilizado en este trabajo.</w:t>
      </w:r>
      <w:r w:rsidDel="00000000" w:rsidR="00000000" w:rsidRPr="00000000">
        <w:rPr>
          <w:rtl w:val="0"/>
        </w:rPr>
        <w:t xml:space="preserve"> Esto plantea, como línea de trabajo futura, la posibilidad de implementar un modelo predictivo que clasifique los planes en niveles de complejidad a partir de las métricas con correlación estadísticamente significativa. Dicha clasificación permitiría asignar métodos de QA más exigentes a los planes de alta complejidad y simplificar la verificación en los de baja complejidad, mejorando la asignación de recursos y la eficiencia del trabajo del físico médico.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240" w:line="240" w:lineRule="auto"/>
        <w:jc w:val="both"/>
        <w:rPr/>
      </w:pPr>
      <w:r w:rsidDel="00000000" w:rsidR="00000000" w:rsidRPr="00000000">
        <w:rPr>
          <w:b w:val="1"/>
          <w:bCs w:val="1"/>
          <w:color w:val="2e74b5"/>
          <w:sz w:val="20"/>
          <w:szCs w:val="20"/>
          <w:rtl w:val="0"/>
        </w:rPr>
        <w:t xml:space="preserve">PALABRAS CLAVE.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Métricas de complejidad, </w:t>
      </w:r>
      <w:r w:rsidDel="00000000" w:rsidR="00000000" w:rsidRPr="00000000">
        <w:rPr>
          <w:rtl w:val="0"/>
        </w:rPr>
        <w:t xml:space="preserve">PSQA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Radioterapia de intensidad modulada,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40" w:line="240" w:lineRule="auto"/>
        <w:jc w:val="both"/>
        <w:rPr/>
      </w:pPr>
      <w:r w:rsidDel="00000000" w:rsidR="00000000" w:rsidRPr="00000000">
        <w:rPr>
          <w:b w:val="1"/>
          <w:bCs w:val="1"/>
          <w:color w:val="2e74b5"/>
          <w:sz w:val="16"/>
          <w:szCs w:val="16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Chiavassa, S. et al. (2019). Complexity metrics for IMRT and VMAT plans: a review of current literature and applications. The British Journal of Radiology, 92(1102), 20190270.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Crowe, S.B. et al. (2014). Treatment plan complexity metrics for predicting IMRT pre-treatment quality assurance results. Australasian Physical &amp; Engineering Sciences in Medicine, 37(3), 475–482.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Du, W. et al. (2014). Quantification of beam complexity in intensity-modulated radiation therapy treatment plans. Medical Physics, 41(2), 021716.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McNiven, A.L. et al. (2010). A new metric for assessing IMRT modulation complexity and plan deliverability. Medical Physics, 37(2), 505–515.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Miften</w:t>
      </w:r>
      <w:r w:rsidDel="00000000" w:rsidR="00000000" w:rsidRPr="00000000">
        <w:rPr>
          <w:sz w:val="16"/>
          <w:szCs w:val="16"/>
          <w:rtl w:val="0"/>
        </w:rPr>
        <w:t xml:space="preserve">, M. et al. (2018). Tolerance limits and methodologies for IMRT measurement-based verification QA: recommendations of AAPM Task Group No. 218. Medical Physics, 45(4), e53–e83.</w:t>
      </w:r>
    </w:p>
    <w:sectPr>
      <w:headerReference r:id="rId7" w:type="default"/>
      <w:pgSz w:h="16838" w:w="11906" w:orient="portrait"/>
      <w:pgMar w:bottom="1417.3228346456694" w:top="1700.7874015748032" w:left="1417.3228346456694" w:right="1077.165354330708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Rule="auto"/>
      <w:jc w:val="center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XV CONGRESO ARGENTINO DE FÍSICA MÉDICA, La Plata, Argentina, 3 y 4 de septiembre 2026</w:t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