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86AB" w14:textId="4AE2811E" w:rsidR="00465282" w:rsidRDefault="00000000">
      <w:pPr>
        <w:jc w:val="center"/>
      </w:pPr>
      <w:r>
        <w:rPr>
          <w:b/>
          <w:color w:val="323232"/>
          <w:sz w:val="30"/>
        </w:rPr>
        <w:t>Robust RGB-D Semantic Segmentation with Masked Linear Cross-Attention and Efficient Pretrained Extractors</w:t>
      </w:r>
    </w:p>
    <w:p w14:paraId="52AA118E" w14:textId="77777777" w:rsidR="00465282" w:rsidRDefault="00000000">
      <w:pPr>
        <w:jc w:val="center"/>
      </w:pPr>
      <w:r>
        <w:rPr>
          <w:b/>
          <w:sz w:val="21"/>
        </w:rPr>
        <w:t>Mónica Abarca¹, Marshall Fernández¹, Joaquin Gonzalez Villarreal¹, Claudia Suárez¹</w:t>
      </w:r>
    </w:p>
    <w:p w14:paraId="617060B5" w14:textId="77777777" w:rsidR="00465282" w:rsidRDefault="00000000">
      <w:pPr>
        <w:jc w:val="center"/>
      </w:pPr>
      <w:r>
        <w:rPr>
          <w:color w:val="5A5A5A"/>
          <w:sz w:val="17"/>
        </w:rPr>
        <w:t>¹Pontificia Universidad Católica del Perú, Lima, Peru</w:t>
        <w:br/>
        <w:t>Corresponding author: [contact e-mail]</w:t>
      </w:r>
    </w:p>
    <w:p w14:paraId="54F0BB52" w14:textId="77777777" w:rsidR="009C10AA" w:rsidRDefault="009C10AA">
      <w:pPr>
        <w:spacing w:before="100" w:after="40"/>
        <w:rPr>
          <w:b/>
          <w:color w:val="482678"/>
          <w:sz w:val="21"/>
        </w:rPr>
      </w:pPr>
    </w:p>
    <w:p w14:paraId="5F375D34" w14:textId="2530AC9E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1. INTRODUCTION</w:t>
      </w:r>
    </w:p>
    <w:p w14:paraId="69FF76B8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RGB-D semantic segmentation helps machines understand their surroundings, but depth sensors fail: reflective, dark or sunlit surfaces leave holes, and a sensor can drop out entirely. Current fusion networks degrade sharply in these cases. With 25% of depth pixels set to zero, the best models on DeLiVER lose 19–23 mIoU points, almost as much as without depth [1], and CMNeXt drops from 56.3 to 51.2 mIoU on NYUv2 when depth is missing [2]. Robust methods exist, but most rely on large backbones or on training strategies that add cost.</w:t>
      </w:r>
    </w:p>
    <w:p w14:paraId="087A6F7A" w14:textId="77777777" w:rsidR="00465282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We ask to what extent a masked linear cross-attention (MLCA) improves the accuracy and robustness of RGB-D segmentation over conventional fusion strategies when depth is noisy, partially missing or absent, while keeping a low computational cost. We hypothesize that a linear cross-attention that explicitly excludes invalid depth positions reduces the loss of segmentation accuracy relative to fusion without masking, with a bounded increase in parameters and latency.</w:t>
      </w:r>
    </w:p>
    <w:p w14:paraId="1F1A4249" w14:textId="77777777" w:rsidR="009C10AA" w:rsidRPr="009C10AA" w:rsidRDefault="009C10AA" w:rsidP="00A32712">
      <w:pPr>
        <w:jc w:val="both"/>
        <w:rPr>
          <w:rFonts w:ascii="Aptos" w:hAnsi="Aptos"/>
          <w:sz w:val="22"/>
        </w:rPr>
      </w:pPr>
    </w:p>
    <w:p w14:paraId="5C134DBF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2. METHODOLOGY</w:t>
      </w:r>
    </w:p>
    <w:p w14:paraId="6B9A7B97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Architecture. A frozen EfficientViT-B1 extracts RGB features at low computational cost [3] and a frozen DeFM ResNet-18, a self-supervised depth foundation model [4], extracts geometric features. After a projection, MLCA fuses them: RGB features query and depth features answer. With φ = ReLU the attention is linear, oᵢ = φ(qᵢ)ᵀS / (φ(qᵢ)ᵀz + ε), with S = Σⱼ mⱼ φ(kⱼ) vⱼᵀ and z = Σⱼ mⱼ φ(kⱼ). The validity mask mⱼ = 0 at sensor holes removes them from both the summary and the normalizer at no extra cost. The output projection has no bias, is zero-initialized and is added to the RGB path, so with no valid depth MLCA contributes exactly zero and the decoder receives only the RGB features (Fig. 1).</w:t>
      </w:r>
    </w:p>
    <w:p w14:paraId="6B9A7B97" w14:textId="77777777" w:rsidR="00465282" w:rsidRPr="009C10AA" w:rsidRDefault="00000000" w:rsidP="00A32712">
      <w:pPr>
        <w:jc w:val="center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drawing>
          <wp:inline xmlns:a="http://schemas.openxmlformats.org/drawingml/2006/main" xmlns:pic="http://schemas.openxmlformats.org/drawingml/2006/picture">
            <wp:extent cx="3420000" cy="19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mlca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7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9A7B97" w14:textId="77777777" w:rsidR="00465282" w:rsidRPr="009C10AA" w:rsidRDefault="00000000" w:rsidP="00A32712">
      <w:pPr>
        <w:jc w:val="center"/>
        <w:rPr>
          <w:rFonts w:ascii="Aptos" w:hAnsi="Aptos"/>
          <w:sz w:val="22"/>
        </w:rPr>
      </w:pPr>
      <w:r w:rsidRPr="009C10AA">
        <w:rPr>
          <w:rFonts w:ascii="Aptos" w:hAnsi="Aptos"/>
          <w:i/>
          <w:sz w:val="18"/>
        </w:rPr>
        <w:t>Fig. 1. EfficientViT + DeFM + MLCA. The validity mask removes depth holes from the attention summary; with no valid depth, the zero-initialized output contributes exactly zero.</w:t>
      </w:r>
    </w:p>
    <w:p w14:paraId="20843C94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Experiments. On NYUv2 (795/654 images) we also use the raw depth maps, which keep the real sensor holes (12–14% of the pixels inside the standard crop, our measurement). We compare RGB only (E1); concatenation (E2); linear cross-attention without a mask, as in CMX [5] (E3); MLCA (E4); MLCA with and without modality dropout (E5); and MLCA with a masked softmax attention (E6), as in UCTNet [6], the closest prior work, which masks invalid depth inside a softmax self-attention of the depth branch. A citation-chaining review of about 2,150 papers found no equivalent mechanism. Test conditions: full depth, real holes, random holes (10/30/50%) [1], contiguous missing regions, Gaussian noise and no depth. Metrics: mIoU, mIoU drop, parameters, FLOPs, latency and memory, over three seeds. Cityscapes, whose stereo disparity has invalid pixels, is an optional second domain.</w:t>
      </w:r>
    </w:p>
    <w:p w14:paraId="0258A58B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1C707911" w14:textId="4D6DA4D0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3. RESULTS AND DISCUSSION</w:t>
      </w:r>
    </w:p>
    <w:p w14:paraId="21E14836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Preliminary results. We trained E1 and E2 with frozen extractors (three seeds, NYUv2 test, 40 classes); the team registered its predictions before training. E1 reaches 44.99 ± 0.30 mIoU. E2 improves it with full depth (47.31 ± 0.26) and with the real sensor holes (46.97 ± 0.52), but falls below RGB only when half of the depth pixels are missing (43.90 ± 0.12) and when it receives an empty depth map (42.25 ± 0.45): trained always with depth and without a mask, E2 cannot tell missing depth from a measured value. On synthetic data we verified that, with no valid depth, the MLCA block returns exactly the RGB features; that holes are excluded exactly, even when they contain NaN; and that its cost grows linearly with the number of tokens (log-log slope 1.14, versus 2.00 for softmax cross-attention). Its sums overflow in FP16, so they are accumulated in FP32.</w:t>
      </w:r>
    </w:p>
    <w:p w14:paraId="5A9BFA96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E3–E6 are scheduled for November 2026. If MLCA does not outperform the unmasked fusion or the softmax variant, that negative result will be reported.</w:t>
      </w:r>
    </w:p>
    <w:p w14:paraId="560E0C09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2CE92476" w14:textId="1DD38124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4. CONCLUSIONS</w:t>
      </w:r>
    </w:p>
    <w:p w14:paraId="07287FCA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Preliminary finding: adding depth without a mask helps only while depth is available; under heavy loss it is worse than ignoring depth. MLCA removes the spurious contribution of missing depth by construction; whether it also keeps the accuracy under partial loss is the hypothesis under test. Limitations: indoor data, and a binary mask detects missing but not noisy depth, which is evaluated separately.</w:t>
      </w:r>
    </w:p>
    <w:p w14:paraId="37BB0F59" w14:textId="77777777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22"/>
        </w:rPr>
        <w:t>Next steps: E3–E6, latency on an embedded device if available, and an extension to the loss of the RGB stream and to outdoor field data. Take-home message: depth should help when present and do no harm when it fails.</w:t>
      </w:r>
    </w:p>
    <w:p w14:paraId="6DFCBEDC" w14:textId="77777777" w:rsidR="009C10AA" w:rsidRDefault="009C10AA" w:rsidP="00A32712">
      <w:pPr>
        <w:jc w:val="both"/>
        <w:rPr>
          <w:rFonts w:ascii="Aptos" w:hAnsi="Aptos"/>
          <w:b/>
          <w:sz w:val="22"/>
        </w:rPr>
      </w:pPr>
    </w:p>
    <w:p w14:paraId="1E488E32" w14:textId="73F08A7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b/>
          <w:sz w:val="22"/>
        </w:rPr>
        <w:t>REFERENCES</w:t>
      </w:r>
    </w:p>
    <w:p w14:paraId="6083C4DE" w14:textId="0841443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[1] C. Liao et al., “Benchmarking multi-modal semantic segmentation under sensor failures: Missing and noisy modality robustness,” in CVPR Workshops, 2025.</w:t>
      </w:r>
      <w:proofErr w:type="spellStart"/>
      <w:proofErr w:type="spellEnd"/>
    </w:p>
    <w:p w14:paraId="5A703AC7" w14:textId="77777777" w:rsidR="00A32712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[2] M. K. Reza, A. Prater-Bennette, and M. S. Asif, “Robust multimodal learning with missing modalities via parameter-efficient adaptation,” IEEE TPAMI, 2025.</w:t>
      </w:r>
    </w:p>
    <w:p w14:paraId="3A245509" w14:textId="1E8BC9E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[3] H. Cai, J. Li, M. Hu, C. Gan, and S. Han, “EfficientViT: Multi-scale linear attention for high-resolution dense prediction,” in ICCV, 2023.</w:t>
      </w:r>
    </w:p>
    <w:p w14:paraId="3A245509" w14:textId="1E8BC9E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[4] M. Patel et al., “DeFM: Learning foundation representations from depth for robotics,” IEEE T-RO (conditionally accepted), 2026, arXiv:2601.18923.</w:t>
      </w:r>
    </w:p>
    <w:p w14:paraId="3A245509" w14:textId="1E8BC9E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[5] J. Zhang et al., “CMX: Cross-modal fusion for RGB-X semantic segmentation with transformers,” IEEE T-ITS, 2023.</w:t>
      </w:r>
    </w:p>
    <w:p w14:paraId="3A245509" w14:textId="1E8BC9E6" w:rsidR="00465282" w:rsidRPr="009C10AA" w:rsidRDefault="00000000" w:rsidP="00A32712">
      <w:pPr>
        <w:jc w:val="both"/>
        <w:rPr>
          <w:rFonts w:ascii="Aptos" w:hAnsi="Aptos"/>
          <w:sz w:val="22"/>
        </w:rPr>
      </w:pPr>
      <w:r w:rsidRPr="009C10AA">
        <w:rPr>
          <w:rFonts w:ascii="Aptos" w:hAnsi="Aptos"/>
          <w:sz w:val="18"/>
        </w:rPr>
        <w:t>[6] X. Ying and M. C. Chuah, “UCTNet: Uncertainty-aware cross-modal transformer network for indoor RGB-D semantic segmentation,” in ECCV, 2022.</w:t>
      </w:r>
    </w:p>
    <w:p w14:paraId="01467AA8" w14:textId="77777777" w:rsidR="009C10AA" w:rsidRDefault="009C10AA" w:rsidP="00A32712">
      <w:pPr>
        <w:spacing w:before="100"/>
        <w:jc w:val="both"/>
        <w:rPr>
          <w:rFonts w:ascii="Aptos" w:hAnsi="Aptos"/>
          <w:b/>
          <w:sz w:val="22"/>
        </w:rPr>
      </w:pPr>
    </w:p>
    <w:sectPr w:rsidR="00465282" w:rsidRPr="009C10AA" w:rsidSect="00A32712">
      <w:headerReference w:type="default" r:id="rId8"/>
      <w:footerReference w:type="default" r:id="rId9"/>
      <w:pgSz w:w="11906" w:h="16838" w:code="9"/>
      <w:pgMar w:top="1134" w:right="1418" w:bottom="1134" w:left="1418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2641" w14:textId="77777777" w:rsidR="001B2E6D" w:rsidRDefault="001B2E6D">
      <w:pPr>
        <w:spacing w:after="0"/>
      </w:pPr>
      <w:r>
        <w:separator/>
      </w:r>
    </w:p>
  </w:endnote>
  <w:endnote w:type="continuationSeparator" w:id="0">
    <w:p w14:paraId="2CDCB210" w14:textId="77777777" w:rsidR="001B2E6D" w:rsidRDefault="001B2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38C5" w14:textId="77777777" w:rsidR="00465282" w:rsidRDefault="00000000">
    <w:pPr>
      <w:pStyle w:val="Piedepgina"/>
      <w:jc w:val="center"/>
    </w:pPr>
    <w:proofErr w:type="spellStart"/>
    <w:r>
      <w:rPr>
        <w:color w:val="6E6E6E"/>
        <w:sz w:val="15"/>
      </w:rPr>
      <w:t>WAIMLAp</w:t>
    </w:r>
    <w:proofErr w:type="spellEnd"/>
    <w:r>
      <w:rPr>
        <w:color w:val="6E6E6E"/>
        <w:sz w:val="15"/>
      </w:rPr>
      <w:t xml:space="preserve">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November 18–20,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Lima, </w:t>
    </w:r>
    <w:proofErr w:type="gramStart"/>
    <w:r>
      <w:rPr>
        <w:color w:val="6E6E6E"/>
        <w:sz w:val="15"/>
      </w:rPr>
      <w:t>Peru  |</w:t>
    </w:r>
    <w:proofErr w:type="gramEnd"/>
    <w:r>
      <w:rPr>
        <w:color w:val="6E6E6E"/>
        <w:sz w:val="15"/>
      </w:rPr>
      <w:t xml:space="preserve">  waimlap.org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5383" w14:textId="77777777" w:rsidR="001B2E6D" w:rsidRDefault="001B2E6D">
      <w:pPr>
        <w:spacing w:after="0"/>
      </w:pPr>
      <w:r>
        <w:separator/>
      </w:r>
    </w:p>
  </w:footnote>
  <w:footnote w:type="continuationSeparator" w:id="0">
    <w:p w14:paraId="6A67B167" w14:textId="77777777" w:rsidR="001B2E6D" w:rsidRDefault="001B2E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31C" w14:textId="39A99E01" w:rsidR="009C10AA" w:rsidRDefault="009C10AA" w:rsidP="00A32712">
    <w:pPr>
      <w:pStyle w:val="Encabezado"/>
      <w:ind w:left="3119" w:right="2692"/>
      <w:jc w:val="cen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E12A8F9" wp14:editId="25B08E49">
          <wp:simplePos x="0" y="0"/>
          <wp:positionH relativeFrom="column">
            <wp:posOffset>4855049</wp:posOffset>
          </wp:positionH>
          <wp:positionV relativeFrom="paragraph">
            <wp:posOffset>29210</wp:posOffset>
          </wp:positionV>
          <wp:extent cx="1104265" cy="323850"/>
          <wp:effectExtent l="0" t="0" r="635" b="0"/>
          <wp:wrapSquare wrapText="bothSides"/>
          <wp:docPr id="2885637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5900FE7" wp14:editId="0BB38482">
          <wp:simplePos x="0" y="0"/>
          <wp:positionH relativeFrom="column">
            <wp:posOffset>3175</wp:posOffset>
          </wp:positionH>
          <wp:positionV relativeFrom="paragraph">
            <wp:posOffset>1905</wp:posOffset>
          </wp:positionV>
          <wp:extent cx="1798955" cy="310515"/>
          <wp:effectExtent l="0" t="0" r="0" b="0"/>
          <wp:wrapSquare wrapText="bothSides"/>
          <wp:docPr id="19231924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573"/>
                  <a:stretch>
                    <a:fillRect/>
                  </a:stretch>
                </pic:blipFill>
                <pic:spPr bwMode="auto">
                  <a:xfrm>
                    <a:off x="0" y="0"/>
                    <a:ext cx="1798955" cy="3105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color w:val="482678"/>
        <w:sz w:val="17"/>
      </w:rPr>
      <w:t>Workshop on Artificial Intelligence</w:t>
    </w:r>
    <w:r w:rsidR="00A32712">
      <w:rPr>
        <w:b/>
        <w:color w:val="482678"/>
        <w:sz w:val="17"/>
      </w:rPr>
      <w:t xml:space="preserve"> </w:t>
    </w:r>
    <w:r>
      <w:rPr>
        <w:b/>
        <w:color w:val="482678"/>
        <w:sz w:val="17"/>
      </w:rPr>
      <w:t>and Machine Learning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7041">
    <w:abstractNumId w:val="8"/>
  </w:num>
  <w:num w:numId="2" w16cid:durableId="1899170088">
    <w:abstractNumId w:val="6"/>
  </w:num>
  <w:num w:numId="3" w16cid:durableId="1270309378">
    <w:abstractNumId w:val="5"/>
  </w:num>
  <w:num w:numId="4" w16cid:durableId="1639147181">
    <w:abstractNumId w:val="4"/>
  </w:num>
  <w:num w:numId="5" w16cid:durableId="1569733001">
    <w:abstractNumId w:val="7"/>
  </w:num>
  <w:num w:numId="6" w16cid:durableId="1434085613">
    <w:abstractNumId w:val="3"/>
  </w:num>
  <w:num w:numId="7" w16cid:durableId="418450632">
    <w:abstractNumId w:val="2"/>
  </w:num>
  <w:num w:numId="8" w16cid:durableId="217860902">
    <w:abstractNumId w:val="1"/>
  </w:num>
  <w:num w:numId="9" w16cid:durableId="100690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6D"/>
    <w:rsid w:val="0029639D"/>
    <w:rsid w:val="00326F90"/>
    <w:rsid w:val="00465282"/>
    <w:rsid w:val="009C10AA"/>
    <w:rsid w:val="00A32712"/>
    <w:rsid w:val="00AA1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49236C"/>
  <w14:defaultImageDpi w14:val="300"/>
  <w15:docId w15:val="{1796AA12-5C5F-4596-A302-646CD49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Masked Linear Cross-Attention for Robust RGB-D Semantic Segmentation</dc:title>
  <dc:subject/>
  <dc:creator>M. Abarca, M. Fernández, J. Gonzalez Villarreal, C. Suárez</dc:creator>
  <cp:keywords/>
  <dc:description/>
  <cp:lastModifiedBy>M. Abarca, M. Fernández, J. Gonzalez Villarreal, C. Suárez</cp:lastModifiedBy>
  <cp:revision>2</cp:revision>
  <dcterms:created xsi:type="dcterms:W3CDTF">2013-12-23T23:15:00Z</dcterms:created>
  <dcterms:modified xsi:type="dcterms:W3CDTF">2026-09-24T03:58:00Z</dcterms:modified>
  <cp:category/>
</cp:coreProperties>
</file>