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560" w:lineRule="exact"/>
        <w:jc w:val="center"/>
        <w:rPr>
          <w:rFonts w:ascii="Times New Roman" w:hAnsi="Times New Roman" w:eastAsia="长城小标宋体" w:cs="Times New Roman"/>
          <w:spacing w:val="-6"/>
          <w:sz w:val="44"/>
        </w:rPr>
      </w:pPr>
      <w:r>
        <w:rPr>
          <w:rFonts w:hint="eastAsia" w:ascii="Times New Roman" w:hAnsi="Times New Roman" w:eastAsia="长城小标宋体" w:cs="Times New Roman"/>
          <w:spacing w:val="-6"/>
          <w:sz w:val="44"/>
          <w:lang w:val="en-US" w:eastAsia="zh-CN"/>
        </w:rPr>
        <w:t>示例客户单位</w:t>
      </w:r>
      <w:r>
        <w:rPr>
          <w:rFonts w:hint="eastAsia" w:ascii="Times New Roman" w:hAnsi="Times New Roman" w:eastAsia="长城小标宋体" w:cs="Times New Roman"/>
          <w:spacing w:val="-6"/>
          <w:sz w:val="44"/>
        </w:rPr>
        <w:t>项目</w:t>
      </w:r>
      <w:r>
        <w:rPr>
          <w:rFonts w:hint="eastAsia" w:ascii="Times New Roman" w:hAnsi="Times New Roman" w:eastAsia="长城小标宋体" w:cs="Times New Roman"/>
          <w:spacing w:val="-6"/>
          <w:sz w:val="44"/>
          <w:lang w:val="en-US" w:eastAsia="zh-CN"/>
        </w:rPr>
        <w:t>专题</w:t>
      </w:r>
      <w:r>
        <w:rPr>
          <w:rFonts w:hint="eastAsia" w:ascii="Times New Roman" w:hAnsi="Times New Roman" w:eastAsia="长城小标宋体" w:cs="Times New Roman"/>
          <w:spacing w:val="-6"/>
          <w:sz w:val="44"/>
        </w:rPr>
        <w:t>会</w:t>
      </w:r>
    </w:p>
    <w:p>
      <w:pPr>
        <w:jc w:val="center"/>
        <w:rPr>
          <w:rFonts w:hint="eastAsia" w:ascii="方正仿宋_GB2312" w:hAnsi="方正仿宋_GB2312" w:eastAsia="方正仿宋_GB2312" w:cs="方正仿宋_GB2312"/>
          <w:b/>
          <w:bCs/>
          <w:sz w:val="36"/>
          <w:szCs w:val="44"/>
        </w:rPr>
      </w:pPr>
    </w:p>
    <w:tbl>
      <w:tblPr>
        <w:tblStyle w:val="5"/>
        <w:tblW w:w="991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7"/>
        <w:gridCol w:w="3571"/>
        <w:gridCol w:w="1590"/>
        <w:gridCol w:w="31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color w:val="000000" w:themeColor="text1"/>
                <w:kern w:val="0"/>
                <w:szCs w:val="21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会议名称</w:t>
            </w:r>
          </w:p>
        </w:tc>
        <w:tc>
          <w:tcPr>
            <w:tcW w:w="8342" w:type="dxa"/>
            <w:gridSpan w:val="3"/>
            <w:vAlign w:val="center"/>
          </w:tcPr>
          <w:p>
            <w:pPr>
              <w:widowControl/>
              <w:snapToGrid w:val="0"/>
              <w:rPr>
                <w:rFonts w:hint="default" w:ascii="微软雅黑" w:hAnsi="微软雅黑" w:eastAsia="微软雅黑" w:cs="微软雅黑"/>
                <w:kern w:val="0"/>
                <w:szCs w:val="21"/>
                <w:lang w:val="en-US" w:eastAsia="zh-CN"/>
              </w:rPr>
            </w:pPr>
            <w:r>
              <w:rPr>
                <w:rFonts w:hint="default" w:ascii="微软雅黑" w:hAnsi="微软雅黑" w:eastAsia="微软雅黑" w:cs="微软雅黑"/>
                <w:kern w:val="0"/>
                <w:szCs w:val="21"/>
                <w:lang w:val="en-US" w:eastAsia="zh-CN"/>
              </w:rPr>
              <w:t>示例客户单位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val="en-US" w:eastAsia="zh-CN"/>
              </w:rPr>
              <w:t>审计智能体（示例审计平台）进度汇报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会议类别</w:t>
            </w:r>
          </w:p>
        </w:tc>
        <w:tc>
          <w:tcPr>
            <w:tcW w:w="3571" w:type="dxa"/>
            <w:vAlign w:val="center"/>
          </w:tcPr>
          <w:p>
            <w:pPr>
              <w:widowControl/>
              <w:tabs>
                <w:tab w:val="left" w:pos="8695"/>
              </w:tabs>
              <w:jc w:val="left"/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□重大会议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☑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讨论会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□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例会</w:t>
            </w:r>
          </w:p>
        </w:tc>
        <w:tc>
          <w:tcPr>
            <w:tcW w:w="1590" w:type="dxa"/>
            <w:vAlign w:val="center"/>
          </w:tcPr>
          <w:p>
            <w:pPr>
              <w:widowControl/>
              <w:tabs>
                <w:tab w:val="left" w:pos="8695"/>
              </w:tabs>
              <w:jc w:val="center"/>
              <w:rPr>
                <w:rFonts w:hint="eastAsia" w:ascii="微软雅黑" w:hAnsi="微软雅黑" w:eastAsia="微软雅黑" w:cs="微软雅黑"/>
                <w:b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会议范围</w:t>
            </w:r>
          </w:p>
        </w:tc>
        <w:tc>
          <w:tcPr>
            <w:tcW w:w="3181" w:type="dxa"/>
            <w:vAlign w:val="center"/>
          </w:tcPr>
          <w:p>
            <w:pPr>
              <w:widowControl/>
              <w:tabs>
                <w:tab w:val="left" w:pos="8695"/>
              </w:tabs>
              <w:jc w:val="left"/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□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 xml:space="preserve">外部会议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zh-CN"/>
              </w:rPr>
              <w:t>☑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内部会议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会议地点</w:t>
            </w:r>
          </w:p>
        </w:tc>
        <w:tc>
          <w:tcPr>
            <w:tcW w:w="357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en-US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客户会议室</w:t>
            </w:r>
          </w:p>
        </w:tc>
        <w:tc>
          <w:tcPr>
            <w:tcW w:w="1590" w:type="dxa"/>
            <w:vAlign w:val="center"/>
          </w:tcPr>
          <w:p>
            <w:pPr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会议时间</w:t>
            </w:r>
          </w:p>
        </w:tc>
        <w:tc>
          <w:tcPr>
            <w:tcW w:w="318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2026/01/01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/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15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: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30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-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19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: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会议方式</w:t>
            </w:r>
          </w:p>
        </w:tc>
        <w:tc>
          <w:tcPr>
            <w:tcW w:w="8342" w:type="dxa"/>
            <w:gridSpan w:val="3"/>
            <w:vAlign w:val="center"/>
          </w:tcPr>
          <w:p>
            <w:pPr>
              <w:widowControl/>
              <w:jc w:val="left"/>
              <w:rPr>
                <w:rFonts w:hint="eastAsia" w:ascii="微软雅黑" w:hAnsi="微软雅黑" w:eastAsia="微软雅黑" w:cs="微软雅黑"/>
                <w:color w:val="000000" w:themeColor="text1"/>
                <w:kern w:val="0"/>
                <w:szCs w:val="21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☑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现场会议 </w:t>
            </w:r>
            <w:r>
              <w:rPr>
                <w:rFonts w:hint="eastAsia" w:ascii="微软雅黑" w:hAnsi="微软雅黑" w:eastAsia="微软雅黑"/>
                <w:szCs w:val="21"/>
                <w:lang w:eastAsia="en-US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电话会议 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视频会议  </w:t>
            </w:r>
            <w:r>
              <w:rPr>
                <w:rFonts w:hint="eastAsia" w:ascii="微软雅黑" w:hAnsi="微软雅黑" w:eastAsia="微软雅黑" w:cs="微软雅黑"/>
                <w:kern w:val="0"/>
                <w:szCs w:val="21"/>
                <w:lang w:eastAsia="en-US"/>
              </w:rPr>
              <w:t>□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>其他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参会人员</w:t>
            </w:r>
          </w:p>
        </w:tc>
        <w:tc>
          <w:tcPr>
            <w:tcW w:w="8342" w:type="dxa"/>
            <w:gridSpan w:val="3"/>
          </w:tcPr>
          <w:p>
            <w:pPr>
              <w:spacing w:line="400" w:lineRule="exact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客户方：负责人01</w:t>
            </w:r>
          </w:p>
          <w:p>
            <w:pPr>
              <w:spacing w:line="400" w:lineRule="exact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我方：业务顾问01、业务顾问02、业务顾问03</w:t>
            </w:r>
          </w:p>
          <w:p>
            <w:pPr>
              <w:spacing w:line="400" w:lineRule="exact"/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客户方相关人员01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77" w:type="dxa"/>
            <w:vAlign w:val="center"/>
          </w:tcPr>
          <w:p>
            <w:pPr>
              <w:widowControl/>
              <w:jc w:val="center"/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纪要整理</w:t>
            </w:r>
          </w:p>
        </w:tc>
        <w:tc>
          <w:tcPr>
            <w:tcW w:w="357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我方业务顾问03</w:t>
            </w:r>
          </w:p>
        </w:tc>
        <w:tc>
          <w:tcPr>
            <w:tcW w:w="1590" w:type="dxa"/>
            <w:vAlign w:val="center"/>
          </w:tcPr>
          <w:p>
            <w:pPr>
              <w:jc w:val="center"/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Cs w:val="21"/>
                <w:lang w:eastAsia="en-US"/>
              </w:rPr>
              <w:t>纪要审核人</w:t>
            </w:r>
          </w:p>
        </w:tc>
        <w:tc>
          <w:tcPr>
            <w:tcW w:w="3181" w:type="dxa"/>
            <w:vAlign w:val="center"/>
          </w:tcPr>
          <w:p>
            <w:pPr>
              <w:rPr>
                <w:rFonts w:hint="default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eastAsia="en-US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bCs/>
                <w:kern w:val="0"/>
                <w:szCs w:val="21"/>
                <w:lang w:val="en-US" w:eastAsia="zh-CN"/>
              </w:rPr>
              <w:t>我方业务顾问01</w:t>
            </w:r>
          </w:p>
        </w:tc>
      </w:tr>
    </w:tbl>
    <w:p/>
    <w:p>
      <w:pPr>
        <w:widowControl/>
        <w:ind w:left="964" w:hanging="964" w:hangingChars="300"/>
        <w:jc w:val="left"/>
        <w:outlineLvl w:val="1"/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</w:p>
    <w:p>
      <w:pPr>
        <w:widowControl/>
        <w:ind w:left="964" w:hanging="964" w:hangingChars="300"/>
        <w:jc w:val="left"/>
        <w:outlineLvl w:val="1"/>
        <w:rPr>
          <w:rFonts w:hint="default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  <w:t>一、交流内容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审计项目管理表更改：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：加一个手工同步的概念，用户上午建一个项目，可能晚上着急用，就需要手工同步。跟客户方相关人员01他们做的一样就行。同样再加一个虚拟项目的概念。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同步过来的项目不用添加审计小组，同步带过来就行。所有的同步项目不需要再改动，只可以查看和删除。增加的虚拟项目可以进行查看编辑删除，可以增加审计小组。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项目编码我觉得可以不用显示。示例业务系统那个页面有的，你们能拿过来就直接拿过来。不能拿的就保持一致就行了。实在那不过来的就可以不要。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：客户方相关人员01给我们源代码。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文件存放在OSS的问题：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：档案系统肯定是要保密的，要放在OSS上面。OSS坏了找运维。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客户方相关人员01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：运维服务商人员目前再换盘，还完之后再测一下性能。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：示例审计平台中要有一个文档清空的功能，项目完成之后要能够清空文件。每个用户可以删除自己权限能看到的，还要有一个系统管理员，可以整个管理这种项目清理的。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就是可以清理自己有权限的，自己不清，有一个系统管理员统一删。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：两个平台衔接问题，你们共用一个地址，调起示例审计平台来。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文档资料挖掘目录树：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：公共空间就当前这个布局就行了，机构节点是不能挂数据的（例如“示例市甲审计局”不能挂数据），要挂在市审计局本级底下。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同样公共知识库的地方下拉的时候直接到机构（如“示例市甲审计局”），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点进去之后能选机构。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机构没法加提示词等内容，只能在末级节点加内容，但是机构能够查看汇总。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知识库也是一个逻辑。机构层级查看的是下面各个子节点内容的汇总。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：明白，下拉的时候不展示业务相关的，只展示机构。甭管是公共空间还是机构空间，展开的时候都只展示机构，不展示</w:t>
      </w:r>
      <w:bookmarkStart w:id="0" w:name="_GoBack"/>
      <w:bookmarkEnd w:id="0"/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业务线管内容。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：要不咱们就简单处理，选择的时候不允许选到机构这一层级，只能选择末级，咱不要汇总了</w:t>
      </w:r>
      <w:r>
        <w:rPr>
          <w:rFonts w:hint="eastAsia" w:ascii="Times New Roman" w:hAnsi="Times New Roman" w:eastAsia="仿宋_GB2312" w:cs="Times New Roman"/>
          <w:sz w:val="32"/>
          <w:highlight w:val="yellow"/>
          <w:lang w:val="en-US" w:eastAsia="zh-CN"/>
        </w:rPr>
        <w:t>（指的是提示词）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。就是一级看一级，只是权限大了之后，比如说示例市甲本级可以看区县的，但是也必须一个一个点进去看。反正要改就统一改。我说的不一定对，咱只是讨论这个事。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这个公共空间也是，把机构列出来。项目空间也是，点进去再展示年度。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：待摊费用这个。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我方业务顾问03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：放到其他。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：你加上试试吧。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招投标部分：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：他这个提示词应该放到系统提示词中。因为场景提示词可能用于审计人员问答。凡是系统调用的提示词，我们才叫系统提示词。但是修改一定是超级管理员才能改，绝对不是用户级的。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我方业务顾问01：比如果示例市乙会不会有针对那个工程投资这一块的招投标。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：所以我觉得这个招投标里面应该是分开的，里面有工程、有政府采购。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就说是为什么咱做的是一个通用的招投标分析，适用于这个支付采购，然后适用于政府投资对工程项目的。然后怎么区分呢？就是通过提示词来区分它。提示词可能这是有区别。所以说你这个地方就说要选这个不同的提示词模板。其实从哪选呢？就从系统提示词里面去选。这个系统提示词也可以动，但是一定是开发，不能随便动。这才是我们当时定义的系统提示词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这个场景提示词还是哪些场景？你比如说是因为是财政，我写了一个叫财政什么合规性分析，怎么怎么的，什么营业账户形成专款什么的。然后这个其实词，然后我在那个龙虾里面也选出来，让他让你跑能跑出结果来，或者是这个东西我可以生成个技能。就场景提示词一定不是系统这些功能去调用。系统调用的有内嵌，你可以内嵌跟你说的写死的代码就是可以的，但是你没法去动它，所以我把它抽出来，而且你要解决一个复用性问题，所以说你这个招投标是非常重要非常复杂的一个场景。它是能够通过提示词模板来配置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你这个招投标多测试测试，找客户方相关人员02要文件。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：这个地方我说你改了哈，叫审计技能包。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风险点分析：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</w:t>
      </w: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>文档助手里面这边也有个风险点分析。这个风险点分析，它就不是那种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智能体</w:t>
      </w:r>
      <w:r>
        <w:rPr>
          <w:rFonts w:hint="default" w:ascii="Times New Roman" w:hAnsi="Times New Roman" w:eastAsia="仿宋_GB2312" w:cs="Times New Roman"/>
          <w:sz w:val="32"/>
          <w:lang w:val="en-US" w:eastAsia="zh-CN"/>
        </w:rPr>
        <w:t>的分析，它还是用通过提示词来分析的，它叫通用风险点分析。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通过提示词解决就行了。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会议纪要分析：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地方的提示词要能修改，能够反向保存到我的提示词，存到个人提示词里面。你们把示例市丁的会议纪要试一试，示例市丁的会议纪要都传上来了，客户方相关人员03那都有。你们回头都试一试。你就从这上面走一遍，从文档之后走一遍。这个提取，词云，然后风险点核查了，会议纪要分析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：招投标我们这个没有数据。示例市乙给我提供的都是小的，最大的就几十兆的。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：工作流编排文件上传也容易断，你们找那个客户方相关人员04，他在示例市戊是的时候出现的问题。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你直接找客户方相关人员05联系客户方相关人员02，要招投标的文件。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再有这个地方不叫智能体广场管理， 叫工作流管理。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：咱们后面也得有一个智能体广场管理。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：所以你这个地方应该叫智能体管理也行，就整个管这三个，放在一起，广场、工作流和技能包的。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菜单问题：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：加一个系统说明，放说明文档。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：这个系统管理里面得有一个数据清理的功能，个人清个人的，然后系统管理员也因该有一个数据清理。对所有的历史数据都在这个地方统一入口去清理他。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：现在核心的就是大文档的处理。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：行政文书和业务文书助手都叫成行政公文助手和业务公文助手，文书质量检查不要了。这个审计质量检查能不能点击后弹出wps?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：我方业务顾问02这个审计质量检查能不能点击后弹出wps?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我方业务顾问02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：可以。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：这个审计质量检查先做一个智能体试试。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我方业务顾问01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：行，我们先做一个。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问答助手：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：这个法规库查询和知识库查询你们再搞一搞，分的不清楚。而且这里应该也可以选提示词和技能。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AI自主探查：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：这个你们也得弄弄，看看能不能查出文件的隐匿关系，之前客户方相关人员03做总是断，你们跟他交流交流。就是从一堆数据表里面推出有没有人和人之间存在关系。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b/>
          <w:bCs/>
          <w:sz w:val="32"/>
          <w:lang w:val="en-US" w:eastAsia="zh-CN"/>
        </w:rPr>
        <w:t>客户方负责人01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：你们把法律法规和知识库都去掉，这个是用来分析数据的。你们把菜单再优化优化，选了一个技能后选不了别的了。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你看你怎么排这个功能，左边选数据，右边选工具，你们回去看看吧。这样你上传的数据就可以和工具一块分析了。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0" w:firstLineChars="20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你找客户方相关人员05用2025年省本级的账试一下，已经是结构化的数据，看能不能找出问题来。</w:t>
      </w:r>
    </w:p>
    <w:p>
      <w:pPr>
        <w:widowControl/>
        <w:numPr>
          <w:ilvl w:val="0"/>
          <w:numId w:val="0"/>
        </w:numPr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widowControl/>
        <w:ind w:left="964" w:hanging="964" w:hangingChars="300"/>
        <w:jc w:val="left"/>
        <w:outlineLvl w:val="1"/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  <w:r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  <w:t>二、结论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审计项目管理：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客户方负责人01提出审计项目管理中的加一个同步按钮，能够将示例业务系统里面新增的数据同步过来。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加一个添加虚拟项目按钮，支持用户新增不在系统中的项目；虚拟项目可以进行编辑和删除，同步过来的项目只支持查看和删除，不能进行编辑和添加审计小组。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审计项目管理的表格展示参考客户方相关人员01平台的表格样式（包括删除和虚拟项目创建逻辑）。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表格字段隐藏项目编码。</w:t>
      </w:r>
    </w:p>
    <w:p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找客户方相关人员01要源码，直接同步他们的系统样式</w:t>
      </w:r>
    </w:p>
    <w:p>
      <w:pPr>
        <w:widowControl/>
        <w:jc w:val="left"/>
        <w:outlineLvl w:val="1"/>
        <w:rPr>
          <w:rFonts w:hint="eastAsia" w:ascii="黑体" w:hAnsi="黑体" w:eastAsia="黑体" w:cs="黑体"/>
          <w:b/>
          <w:bCs/>
          <w:kern w:val="0"/>
          <w:sz w:val="32"/>
          <w:szCs w:val="32"/>
          <w:lang w:val="en-US" w:eastAsia="zh-CN" w:bidi="ar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目录树展示风格统一：</w:t>
      </w:r>
    </w:p>
    <w:p>
      <w:pPr>
        <w:widowControl/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客户方负责人01提出要将“文档资料挖掘、知识库等目录树的展示按照提示词管理进行统一风格”，具体情况如下：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公共空间：地市的审计局本级目录不能挂资料目录（如“示例市甲审计局”必须在下面的“市审计局本级”挂资料内容）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项目空间：将于各个地市的审计局（如“示例市丙审计局”）等层级与示例客户单位调成平级，下面的年度由“2026”改为“2026年度项目”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以提示词管理里面的目录树为标准，文档资料挖掘和知识库的项目均需更改。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目录树的横向要能够拉拽（参考文档资料挖掘）。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文档资料挖掘的选取空间时的目录展开只允许展开到机构。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知识库目录：目录只展示到机构，不展示下面的业务目录部分，提示词管理也一并统一。</w:t>
      </w:r>
    </w:p>
    <w:p>
      <w:pPr>
        <w:widowControl/>
        <w:numPr>
          <w:ilvl w:val="0"/>
          <w:numId w:val="2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智能体平台的技能库管理的目录也同样统一</w:t>
      </w:r>
    </w:p>
    <w:p>
      <w:pPr>
        <w:widowControl/>
        <w:numPr>
          <w:ilvl w:val="0"/>
          <w:numId w:val="0"/>
        </w:numPr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主页面左侧菜单内容修改：</w:t>
      </w:r>
    </w:p>
    <w:p>
      <w:pPr>
        <w:widowControl/>
        <w:numPr>
          <w:ilvl w:val="0"/>
          <w:numId w:val="0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客户方负责人01提出目前的主页面左侧菜单中的功能及功能名称有部分需要更改，具体情况如下：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技能库管理更名为“审计技能包”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智能体广场管理更名为“智能体管理”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在系统管理中新增一个菜单：系统说明菜单（用于存放说明文档）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应用管理增加一个菜单：历史数据清理（超级管理员的功能，用于清理普通用户的项目信息，每个人也可以清理自己项目的信息）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审计文书助手里面的行政文书助手更名为“行政公文助手”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审计文书助手里面的业务文书助手更名为“业务公文助手”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删除审计文书助手里面的文书质量检查</w:t>
      </w:r>
    </w:p>
    <w:p>
      <w:pPr>
        <w:widowControl/>
        <w:numPr>
          <w:ilvl w:val="0"/>
          <w:numId w:val="3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AI自主探查里面的法律法规查询和问题定性拿掉</w:t>
      </w:r>
    </w:p>
    <w:p>
      <w:pPr>
        <w:widowControl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文档资料挖掘中功能优化：</w:t>
      </w:r>
    </w:p>
    <w:p>
      <w:pPr>
        <w:widowControl/>
        <w:numPr>
          <w:ilvl w:val="0"/>
          <w:numId w:val="0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客户方负责人01查看文档资料挖掘中的右侧各个功能，提出：</w:t>
      </w:r>
    </w:p>
    <w:p>
      <w:pPr>
        <w:widowControl/>
        <w:numPr>
          <w:ilvl w:val="0"/>
          <w:numId w:val="4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highlight w:val="none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招投标分析：要有一个通用的模板（当前模板），需要找客户方相关人员02要文件先验一下具体的情况</w:t>
      </w:r>
      <w:r>
        <w:rPr>
          <w:rFonts w:hint="eastAsia" w:ascii="Times New Roman" w:hAnsi="Times New Roman" w:eastAsia="仿宋_GB2312" w:cs="Times New Roman"/>
          <w:sz w:val="32"/>
          <w:highlight w:val="none"/>
          <w:lang w:val="en-US" w:eastAsia="zh-CN"/>
        </w:rPr>
        <w:t>，并优化“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highlight w:val="none"/>
          <w:lang w:val="en-US" w:eastAsia="zh-CN"/>
        </w:rPr>
        <w:t>标文件一致性分析</w:t>
      </w:r>
      <w:r>
        <w:rPr>
          <w:rFonts w:hint="eastAsia" w:ascii="Times New Roman" w:hAnsi="Times New Roman" w:eastAsia="仿宋_GB2312" w:cs="Times New Roman"/>
          <w:sz w:val="32"/>
          <w:highlight w:val="none"/>
          <w:lang w:val="en-US" w:eastAsia="zh-CN"/>
        </w:rPr>
        <w:t>”、“招标文件倾向性分析”、“</w:t>
      </w:r>
      <w:r>
        <w:rPr>
          <w:rFonts w:hint="eastAsia" w:ascii="仿宋_GB2312" w:hAnsi="仿宋_GB2312" w:eastAsia="仿宋_GB2312" w:cs="仿宋_GB2312"/>
          <w:b w:val="0"/>
          <w:bCs w:val="0"/>
          <w:sz w:val="32"/>
          <w:szCs w:val="32"/>
          <w:highlight w:val="none"/>
          <w:lang w:val="en-US" w:eastAsia="zh-CN"/>
        </w:rPr>
        <w:t>投标报价规律性差异分析</w:t>
      </w:r>
      <w:r>
        <w:rPr>
          <w:rFonts w:hint="eastAsia" w:ascii="Times New Roman" w:hAnsi="Times New Roman" w:eastAsia="仿宋_GB2312" w:cs="Times New Roman"/>
          <w:sz w:val="32"/>
          <w:highlight w:val="none"/>
          <w:lang w:val="en-US" w:eastAsia="zh-CN"/>
        </w:rPr>
        <w:t>”等规则.</w:t>
      </w:r>
    </w:p>
    <w:p>
      <w:pPr>
        <w:widowControl/>
        <w:numPr>
          <w:ilvl w:val="0"/>
          <w:numId w:val="4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highlight w:val="none"/>
          <w:lang w:val="en-US" w:eastAsia="zh-CN"/>
        </w:rPr>
        <w:t>查看会议纪要分析时提出，要能够再功能页面修改提示词，最好能够修改之后保存回个人提示词当中，方便</w:t>
      </w: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之后复用。</w:t>
      </w:r>
    </w:p>
    <w:p>
      <w:pPr>
        <w:widowControl/>
        <w:numPr>
          <w:ilvl w:val="0"/>
          <w:numId w:val="4"/>
        </w:numPr>
        <w:ind w:left="425" w:leftChars="0" w:hanging="425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合同分析中的“批量执行”更改为“执行”，并要求拿一些指标文合同测试一下。</w:t>
      </w:r>
    </w:p>
    <w:p>
      <w:pPr>
        <w:widowControl/>
        <w:numPr>
          <w:ilvl w:val="0"/>
          <w:numId w:val="4"/>
        </w:numPr>
        <w:ind w:left="425" w:leftChars="0" w:hanging="425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具体测试：找客户方相关人员02要招投标文件，找客户方相关人员03要示例市丁的会议纪要。</w:t>
      </w:r>
    </w:p>
    <w:p>
      <w:pPr>
        <w:widowControl/>
        <w:numPr>
          <w:ilvl w:val="0"/>
          <w:numId w:val="0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widowControl/>
        <w:numPr>
          <w:ilvl w:val="0"/>
          <w:numId w:val="0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审计问答助手：</w:t>
      </w:r>
    </w:p>
    <w:p>
      <w:pPr>
        <w:widowControl/>
        <w:numPr>
          <w:ilvl w:val="0"/>
          <w:numId w:val="5"/>
        </w:numPr>
        <w:ind w:firstLine="420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客户方负责人01提出，技能调用入口新增：问答助手在原有上传文件、上传图片、选择问答类型的基础上，新增技能选择功能，用户可直接调用已授权的技能完成对应分析任务。</w:t>
      </w:r>
    </w:p>
    <w:p>
      <w:pPr>
        <w:widowControl/>
        <w:numPr>
          <w:ilvl w:val="0"/>
          <w:numId w:val="5"/>
        </w:numPr>
        <w:ind w:firstLine="420" w:firstLineChars="0"/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提示词调用能力补充：在问答助手内新增提示词选择功能，支持用户直接调用系统、机构、个人三类提示词，降低用户手动输入提示词的操作成本。</w:t>
      </w:r>
    </w:p>
    <w:p>
      <w:pPr>
        <w:widowControl/>
        <w:numPr>
          <w:ilvl w:val="0"/>
          <w:numId w:val="0"/>
        </w:numPr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eastAsia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AI自主探查：</w:t>
      </w:r>
    </w:p>
    <w:p>
      <w:pPr>
        <w:widowControl/>
        <w:numPr>
          <w:ilvl w:val="0"/>
          <w:numId w:val="6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删除掉法规查询和知识库查询。</w:t>
      </w:r>
    </w:p>
    <w:p>
      <w:pPr>
        <w:widowControl/>
        <w:numPr>
          <w:ilvl w:val="0"/>
          <w:numId w:val="6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优化工具栏目：左边选数据，右边选工具</w:t>
      </w:r>
    </w:p>
    <w:p>
      <w:pPr>
        <w:widowControl/>
        <w:numPr>
          <w:ilvl w:val="0"/>
          <w:numId w:val="6"/>
        </w:numPr>
        <w:ind w:firstLine="420" w:firstLineChars="0"/>
        <w:jc w:val="left"/>
        <w:outlineLvl w:val="1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找客户方相关人员05要省本级的账测试智能问数。</w:t>
      </w:r>
    </w:p>
    <w:p>
      <w:pPr>
        <w:widowControl/>
        <w:numPr>
          <w:ilvl w:val="0"/>
          <w:numId w:val="0"/>
        </w:numPr>
        <w:jc w:val="left"/>
        <w:outlineLvl w:val="1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</w:p>
    <w:p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43" w:firstLineChars="200"/>
        <w:jc w:val="left"/>
        <w:textAlignment w:val="auto"/>
        <w:outlineLvl w:val="1"/>
        <w:rPr>
          <w:rFonts w:hint="default" w:ascii="黑体" w:hAnsi="黑体" w:eastAsia="黑体" w:cs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2"/>
          <w:lang w:val="en-US" w:eastAsia="zh-CN"/>
        </w:rPr>
        <w:t>提示词部分：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firstLine="420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客户方负责人01在提示词与技能方面提出以下指导意见：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提示词管理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提示词分类管理落地：涉及到功能提示词存放到系统提示此里面，场景提示词存放的内容是能够在问答调用的内容。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系统类提示词用户无权修改且不在公共提示词中显示，公共提示词由客户主管单位数据处人员进行审核维护，机构类提示词由对应机构管理员维护，个人类提示词由用户自行创建编辑。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default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公共提示词点击进入之后，目录不要展开。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公共提示词只能由客户主管单位进行维护，并且只保留客户主管单位创建的提示词，其余系统，功能等相关的提示词不能放在公共里面。</w:t>
      </w:r>
    </w:p>
    <w:p>
      <w:pPr>
        <w:keepNext w:val="0"/>
        <w:keepLines w:val="0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创建好的提示词卡片展示，需要展示创建的单位和什么人创建的（所有由权限管理的功能包括：“知识库”、“技能管理”、“提示词管理”等都需要按照这样的逻辑进行设计），具体设计需要进行调研。</w:t>
      </w:r>
    </w:p>
    <w:p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590" w:lineRule="exact"/>
        <w:ind w:left="425" w:leftChars="0" w:hanging="425" w:firstLineChars="0"/>
        <w:jc w:val="left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技能库管理</w:t>
      </w:r>
    </w:p>
    <w:p>
      <w:pPr>
        <w:pStyle w:val="7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/>
        <w:ind w:left="425" w:leftChars="0" w:hanging="425" w:firstLineChars="0"/>
        <w:textAlignment w:val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z w:val="32"/>
          <w:lang w:val="en-US" w:eastAsia="zh-CN"/>
        </w:rPr>
        <w:t>客户方负责人01</w:t>
      </w:r>
      <w:r>
        <w:rPr>
          <w:rFonts w:hint="default" w:ascii="Times New Roman" w:hAnsi="Times New Roman" w:cs="Times New Roman"/>
        </w:rPr>
        <w:t>建议增加"通过提示词生成技能"的功能界面，支持从提示词管理直接引用并改造后生成技能，实现提示词与技能的互通。</w:t>
      </w:r>
    </w:p>
    <w:p>
      <w:pPr>
        <w:pStyle w:val="7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/>
        <w:ind w:left="425" w:leftChars="0" w:hanging="425" w:firstLineChars="0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default" w:ascii="Times New Roman" w:hAnsi="Times New Roman" w:cs="Times New Roman"/>
        </w:rPr>
        <w:t>技能库目前内容较少，需逐步丰富。</w:t>
      </w:r>
    </w:p>
    <w:p>
      <w:pPr>
        <w:pStyle w:val="7"/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/>
        <w:ind w:left="425" w:leftChars="0" w:hanging="425" w:firstLineChars="0"/>
        <w:textAlignment w:val="auto"/>
        <w:rPr>
          <w:rFonts w:hint="eastAsia" w:ascii="Times New Roman" w:hAnsi="Times New Roman" w:eastAsia="仿宋_GB2312" w:cs="Times New Roman"/>
          <w:sz w:val="32"/>
          <w:lang w:val="en-US" w:eastAsia="zh-CN"/>
        </w:rPr>
      </w:pPr>
      <w:r>
        <w:rPr>
          <w:rFonts w:hint="eastAsia" w:ascii="Times New Roman" w:hAnsi="Times New Roman" w:eastAsia="仿宋_GB2312" w:cs="Times New Roman"/>
          <w:sz w:val="32"/>
          <w:lang w:val="en-US" w:eastAsia="zh-CN"/>
        </w:rPr>
        <w:t>技能与提示词权限管控：沿用现有提示词的权限管理逻辑，技能的权限体系与提示词保持完全一致，不同层级用户仅能查看自己权限范围内的资源。</w:t>
      </w:r>
    </w:p>
    <w:sectPr>
      <w:foot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长城小标宋体">
    <w:altName w:val="宋体"/>
    <w:panose1 w:val="00000000000000000000"/>
    <w:charset w:val="86"/>
    <w:family w:val="auto"/>
    <w:pitch w:val="default"/>
    <w:sig w:usb0="00000000" w:usb1="00000000" w:usb2="00000000" w:usb3="00000000" w:csb0="20160004" w:csb1="00100000"/>
  </w:font>
  <w:font w:name="方正仿宋_GB2312">
    <w:altName w:val="仿宋"/>
    <w:panose1 w:val="02000000000000000000"/>
    <w:charset w:val="86"/>
    <w:family w:val="auto"/>
    <w:pitch w:val="default"/>
    <w:sig w:usb0="00000000" w:usb1="00000000" w:usb2="00000012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D60B5C"/>
    <w:multiLevelType w:val="singleLevel"/>
    <w:tmpl w:val="94D60B5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EF9C041"/>
    <w:multiLevelType w:val="singleLevel"/>
    <w:tmpl w:val="9EF9C041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16308D3"/>
    <w:multiLevelType w:val="singleLevel"/>
    <w:tmpl w:val="A16308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748FD74"/>
    <w:multiLevelType w:val="singleLevel"/>
    <w:tmpl w:val="B748FD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D68A0A9"/>
    <w:multiLevelType w:val="singleLevel"/>
    <w:tmpl w:val="DD68A0A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20E3FCE2"/>
    <w:multiLevelType w:val="singleLevel"/>
    <w:tmpl w:val="20E3FCE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21597EC2"/>
    <w:multiLevelType w:val="singleLevel"/>
    <w:tmpl w:val="21597E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E9AD403"/>
    <w:multiLevelType w:val="singleLevel"/>
    <w:tmpl w:val="5E9AD40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6FE9115"/>
    <w:multiLevelType w:val="singleLevel"/>
    <w:tmpl w:val="76FE9115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2"/>
  </w:num>
  <w:num w:numId="5">
    <w:abstractNumId w:val="8"/>
  </w:num>
  <w:num w:numId="6">
    <w:abstractNumId w:val="1"/>
  </w:num>
  <w:num w:numId="7">
    <w:abstractNumId w:val="0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5">
    <w:name w:val="Table Grid"/>
    <w:basedOn w:val="4"/>
    <w:qFormat/>
    <w:uiPriority w:val="0"/>
    <w:rPr>
      <w:sz w:val="24"/>
      <w:szCs w:val="24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文本正文"/>
    <w:basedOn w:val="3"/>
    <w:qFormat/>
    <w:uiPriority w:val="0"/>
    <w:pPr>
      <w:shd w:val="clear" w:color="auto" w:fill="FFFFFF"/>
      <w:wordWrap w:val="0"/>
      <w:spacing w:after="0" w:afterAutospacing="0" w:line="560" w:lineRule="exact"/>
    </w:pPr>
    <w:rPr>
      <w:rFonts w:eastAsia="仿宋_GB231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Pages>11</Pages>
  <Words>4152</Words>
  <Characters>4195</Characters>
  <Lines>0</Lines>
  <Paragraphs>0</Paragraphs>
  <TotalTime>2</TotalTime>
  <ScaleCrop>false</ScaleCrop>
  <LinksUpToDate>false</LinksUpToDate>
  <CharactersWithSpaces>4207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