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01"/>
        <w:gridCol w:w="2001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(N=98181)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(N=7726)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52,324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4,190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45,857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3,536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74,827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6,022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6,322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69,837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3,760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28,344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17,865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59,188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5,060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21128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1674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95,009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44,805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3,421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53,376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4,305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78,647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5,640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19,534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90,686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7,253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7,495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79,666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5,982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18,515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89,808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13,982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3,415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84,199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4,311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97,435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7,473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96,251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7,166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97,301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1,782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91,931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5,944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2,350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body61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82,940 (84.5%)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5,376 (69.6%)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2023-01-11T15:31:46Z</dcterms:modified>
  <cp:category/>
</cp:coreProperties>
</file>