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manual-de-cualificación-de-soldadores"/>
    <w:p>
      <w:pPr>
        <w:pStyle w:val="Heading1"/>
      </w:pPr>
      <w:r>
        <w:rPr>
          <w:rStyle w:val="SectionNumber"/>
          <w:rFonts w:ascii="Montserrat" w:hAnsi="Montserrat"/>
          <w:b/>
          <w:color w:val="FF7A00"/>
          <w:sz w:val="96"/>
        </w:rPr>
        <w:t xml:space="preserve">1</w:t>
      </w:r>
      <w:r>
        <w:rPr>
          <w:rFonts w:ascii="Montserrat" w:hAnsi="Montserrat"/>
          <w:b/>
          <w:color w:val="FF7A00"/>
          <w:sz w:val="96"/>
        </w:rPr>
        <w:tab/>
      </w:r>
      <w:r>
        <w:rPr>
          <w:rFonts w:ascii="Montserrat" w:hAnsi="Montserrat"/>
          <w:b/>
          <w:color w:val="FF7A00"/>
          <w:sz w:val="96"/>
        </w:rPr>
        <w:t xml:space="preserve">Manual de Cualificación de Soldadores</w:t>
      </w:r>
    </w:p>
    <w:bookmarkStart w:id="11" w:name="introducción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1.1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1. Introducción</w:t>
      </w:r>
    </w:p>
    <w:p>
      <w:pPr>
        <w:pStyle w:val="FirstParagraph"/>
      </w:pPr>
      <w:r>
        <w:t xml:space="preserve">Este manual establece los procedimientos y requisitos para la</w:t>
      </w:r>
      <w:r>
        <w:t xml:space="preserve"> </w:t>
      </w:r>
      <w:r>
        <w:rPr>
          <w:b/>
          <w:bCs/>
        </w:rPr>
        <w:t xml:space="preserve">cualificación de soldadores</w:t>
      </w:r>
      <w:r>
        <w:t xml:space="preserve"> </w:t>
      </w:r>
      <w:r>
        <w:t xml:space="preserve">según las normas internacionales aplicables.</w:t>
      </w:r>
    </w:p>
    <w:bookmarkStart w:id="9" w:name="alcance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1.1.1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1.1 Alcance</w:t>
      </w:r>
    </w:p>
    <w:p>
      <w:pPr>
        <w:pStyle w:val="FirstParagraph"/>
      </w:pPr>
      <w:r>
        <w:t xml:space="preserve">El presente documento cubre:</w:t>
      </w:r>
    </w:p>
    <w:p>
      <w:pPr>
        <w:pStyle w:val="Compact"/>
        <w:numPr>
          <w:ilvl w:val="0"/>
          <w:numId w:val="1001"/>
        </w:numPr>
      </w:pPr>
      <w:r>
        <w:t xml:space="preserve">Requisitos generales de cualificación</w:t>
      </w:r>
    </w:p>
    <w:p>
      <w:pPr>
        <w:pStyle w:val="Compact"/>
        <w:numPr>
          <w:ilvl w:val="0"/>
          <w:numId w:val="1001"/>
        </w:numPr>
      </w:pPr>
      <w:r>
        <w:t xml:space="preserve">Procedimientos de prueba</w:t>
      </w:r>
    </w:p>
    <w:p>
      <w:pPr>
        <w:pStyle w:val="Compact"/>
        <w:numPr>
          <w:ilvl w:val="0"/>
          <w:numId w:val="1001"/>
        </w:numPr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Documentación requerida</w:t>
      </w:r>
    </w:p>
    <w:bookmarkEnd w:id="9"/>
    <w:bookmarkStart w:id="10" w:name="referencias-normativas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1.1.2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1.2 Referencias Normativas</w:t>
      </w:r>
    </w:p>
    <w:p>
      <w:pPr>
        <w:pStyle w:val="FirstParagraph"/>
      </w:pPr>
      <w:r>
        <w:t xml:space="preserve">Las siguientes normas son aplicables:</w:t>
      </w:r>
    </w:p>
    <w:p>
      <w:pPr>
        <w:pStyle w:val="Compact"/>
        <w:numPr>
          <w:ilvl w:val="0"/>
          <w:numId w:val="1002"/>
        </w:numPr>
      </w:pPr>
      <w:r>
        <w:t xml:space="preserve">ASME Section IX - Welding and Brazing Qualifications</w:t>
      </w:r>
    </w:p>
    <w:p>
      <w:pPr>
        <w:pStyle w:val="Compact"/>
        <w:numPr>
          <w:ilvl w:val="0"/>
          <w:numId w:val="1002"/>
        </w:numPr>
      </w:pPr>
      <w:r>
        <w:t xml:space="preserve">AWS D1.1 - Structural Welding Code - Steel</w:t>
      </w:r>
    </w:p>
    <w:p>
      <w:pPr>
        <w:pStyle w:val="Compact"/>
        <w:numPr>
          <w:ilvl w:val="0"/>
          <w:numId w:val="1002"/>
        </w:numPr>
      </w:pPr>
      <w:r>
        <w:t xml:space="preserve">ISO 9606-1 - Qualification test of welders</w:t>
      </w:r>
    </w:p>
    <w:bookmarkEnd w:id="10"/>
    <w:bookmarkEnd w:id="11"/>
    <w:bookmarkStart w:id="15" w:name="requisitos-generales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1.2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2. Requisitos Generales</w:t>
      </w:r>
    </w:p>
    <w:bookmarkStart w:id="12" w:name="variables-esenciales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1.2.1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2.1 Variables Esenciales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variables esenciales</w:t>
      </w:r>
      <w:r>
        <w:t xml:space="preserve"> </w:t>
      </w:r>
      <w:r>
        <w:t xml:space="preserve">que afectan la cualificación incluyen: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Variable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Descripción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Proceso de soldadura</w:t>
            </w:r>
          </w:p>
        </w:tc>
        <w:tc>
          <w:tcPr/>
          <w:p>
            <w:pPr>
              <w:pStyle w:val="Compact"/>
            </w:pPr>
            <w:r>
              <w:t xml:space="preserve">SMAW, GTAW, FCAW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t xml:space="preserve">Material Base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Tipo de material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P-No. 1-8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</w:t>
            </w:r>
          </w:p>
        </w:tc>
        <w:tc>
          <w:tcPr/>
          <w:p>
            <w:pPr>
              <w:pStyle w:val="Compact"/>
            </w:pPr>
            <w:r>
              <w:t xml:space="preserve">Rango de espesor</w:t>
            </w:r>
          </w:p>
        </w:tc>
        <w:tc>
          <w:tcPr/>
          <w:p>
            <w:pPr>
              <w:pStyle w:val="Compact"/>
            </w:pPr>
            <w:r>
              <w:t xml:space="preserve">Ver tabla 2.1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t xml:space="preserve">Posición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Posición de soldadura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1G, 2G, 3G, 4G, 5G, 6G</w:t>
            </w:r>
          </w:p>
        </w:tc>
      </w:tr>
    </w:tbl>
    <w:bookmarkEnd w:id="12"/>
    <w:bookmarkStart w:id="14" w:name="rangos-de-cualificación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1.2.2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2.2 Rangos de Cualificación</w:t>
      </w:r>
    </w:p>
    <w:bookmarkStart w:id="13" w:name="espesor-del-material"/>
    <w:p>
      <w:pPr>
        <w:pStyle w:val="Heading4"/>
      </w:pPr>
      <w:r>
        <w:rPr>
          <w:rStyle w:val="SectionNumber"/>
          <w:rFonts w:ascii="Montserrat" w:hAnsi="Montserrat"/>
          <w:color w:val="6B7280"/>
          <w:sz w:val="48"/>
        </w:rPr>
        <w:t xml:space="preserve">1.2.2.1</w:t>
      </w:r>
      <w:r>
        <w:rPr>
          <w:rFonts w:ascii="Montserrat" w:hAnsi="Montserrat"/>
          <w:color w:val="6B7280"/>
          <w:sz w:val="48"/>
        </w:rPr>
        <w:tab/>
      </w:r>
      <w:r>
        <w:rPr>
          <w:rFonts w:ascii="Montserrat" w:hAnsi="Montserrat"/>
          <w:color w:val="6B7280"/>
          <w:sz w:val="48"/>
        </w:rPr>
        <w:t xml:space="preserve">Espesor del Material</w:t>
      </w:r>
    </w:p>
    <w:p>
      <w:pPr>
        <w:pStyle w:val="FirstParagraph"/>
      </w:pPr>
      <w:r>
        <w:t xml:space="preserve">Cuando un soldador cualifica con un espesor específico, queda cualificado para los siguientes rangos:</w:t>
      </w:r>
    </w:p>
    <w:p>
      <w:pPr>
        <w:pStyle w:val="Compact"/>
        <w:numPr>
          <w:ilvl w:val="0"/>
          <w:numId w:val="1003"/>
        </w:numPr>
      </w:pPr>
      <w:r>
        <w:t xml:space="preserve">Espesor cualificado:</w:t>
      </w:r>
      <w:r>
        <w:t xml:space="preserve"> </w:t>
      </w:r>
      <w:r>
        <w:rPr>
          <w:b/>
          <w:bCs/>
        </w:rPr>
        <w:t xml:space="preserve">t</w:t>
      </w:r>
    </w:p>
    <w:p>
      <w:pPr>
        <w:pStyle w:val="Compact"/>
        <w:numPr>
          <w:ilvl w:val="0"/>
          <w:numId w:val="1003"/>
        </w:numPr>
      </w:pPr>
      <w:r>
        <w:t xml:space="preserve">Rango cualificado:</w:t>
      </w:r>
      <w:r>
        <w:t xml:space="preserve"> </w:t>
      </w:r>
      <w:r>
        <w:rPr>
          <w:b/>
          <w:bCs/>
        </w:rPr>
        <w:t xml:space="preserve">0.5t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2t</w:t>
      </w:r>
    </w:p>
    <w:p>
      <w:pPr>
        <w:pStyle w:val="Compact"/>
        <w:numPr>
          <w:ilvl w:val="0"/>
          <w:numId w:val="1003"/>
        </w:numPr>
      </w:pPr>
      <w:r>
        <w:t xml:space="preserve">Máximo:</w:t>
      </w:r>
      <w:r>
        <w:t xml:space="preserve"> </w:t>
      </w:r>
      <w:r>
        <w:rPr>
          <w:b/>
          <w:bCs/>
        </w:rPr>
        <w:t xml:space="preserve">Sin límite</w:t>
      </w:r>
      <w:r>
        <w:t xml:space="preserve"> </w:t>
      </w:r>
      <w:r>
        <w:t xml:space="preserve">(según norma)</w:t>
      </w:r>
    </w:p>
    <w:p>
      <w:pPr>
        <w:pStyle w:val="BlockText"/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Los rangos pueden variar según el código aplicable. Siempre consultar la normativa vigente.</w:t>
      </w:r>
    </w:p>
    <w:bookmarkEnd w:id="13"/>
    <w:bookmarkEnd w:id="14"/>
    <w:bookmarkEnd w:id="15"/>
    <w:bookmarkStart w:id="22" w:name="procedimientos-de-prueba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1.3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3. Procedimientos de Prueba</w:t>
      </w:r>
    </w:p>
    <w:bookmarkStart w:id="16" w:name="preparación-del-cupón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1.3.1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3.1 Preparación del Cupón</w:t>
      </w:r>
    </w:p>
    <w:p>
      <w:pPr>
        <w:pStyle w:val="FirstParagraph"/>
      </w:pPr>
      <w:r>
        <w:t xml:space="preserve">El cupón de prueba debe prepararse de acuerdo con:</w:t>
      </w:r>
    </w:p>
    <w:p>
      <w:pPr>
        <w:pStyle w:val="Compact"/>
        <w:numPr>
          <w:ilvl w:val="0"/>
          <w:numId w:val="1004"/>
        </w:numPr>
      </w:pPr>
      <w:r>
        <w:t xml:space="preserve">Limpiar el material base completamente</w:t>
      </w:r>
    </w:p>
    <w:p>
      <w:pPr>
        <w:pStyle w:val="Compact"/>
        <w:numPr>
          <w:ilvl w:val="0"/>
          <w:numId w:val="1004"/>
        </w:numPr>
      </w:pPr>
      <w:r>
        <w:t xml:space="preserve">Verificar dimensiones según WPS</w:t>
      </w:r>
    </w:p>
    <w:p>
      <w:pPr>
        <w:pStyle w:val="Compact"/>
        <w:numPr>
          <w:ilvl w:val="0"/>
          <w:numId w:val="1004"/>
        </w:numPr>
      </w:pPr>
      <w:r>
        <w:t xml:space="preserve">Preparar el bisel según especificaciones</w:t>
      </w:r>
    </w:p>
    <w:p>
      <w:pPr>
        <w:pStyle w:val="Compact"/>
        <w:numPr>
          <w:ilvl w:val="0"/>
          <w:numId w:val="1004"/>
        </w:numPr>
      </w:pPr>
      <w:r>
        <w:t xml:space="preserve">Asegurar la junta correctamente</w:t>
      </w:r>
    </w:p>
    <w:bookmarkEnd w:id="16"/>
    <w:bookmarkStart w:id="17" w:name="ejecución-de-la-soldadura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1.3.2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3.2 Ejecución de la Soldadura</w:t>
      </w:r>
    </w:p>
    <w:p>
      <w:pPr>
        <w:pStyle w:val="SourceCode"/>
      </w:pPr>
      <w:r>
        <w:rPr>
          <w:rStyle w:val="VerbatimChar"/>
        </w:rPr>
        <w:t xml:space="preserve">PARÁMETROS TÍPICOS - SMAW</w:t>
      </w:r>
      <w:r>
        <w:br/>
      </w:r>
      <w:r>
        <w:br/>
      </w:r>
      <w:r>
        <w:rPr>
          <w:rStyle w:val="VerbatimChar"/>
        </w:rPr>
        <w:t xml:space="preserve">Electrodo:     E7018</w:t>
      </w:r>
      <w:r>
        <w:br/>
      </w:r>
      <w:r>
        <w:rPr>
          <w:rStyle w:val="VerbatimChar"/>
        </w:rPr>
        <w:t xml:space="preserve">Diámetro:      3.2 mm (1/8")</w:t>
      </w:r>
      <w:r>
        <w:br/>
      </w:r>
      <w:r>
        <w:rPr>
          <w:rStyle w:val="VerbatimChar"/>
        </w:rPr>
        <w:t xml:space="preserve">Corriente:     110-130 A</w:t>
      </w:r>
      <w:r>
        <w:br/>
      </w:r>
      <w:r>
        <w:rPr>
          <w:rStyle w:val="VerbatimChar"/>
        </w:rPr>
        <w:t xml:space="preserve">Polaridad:     DCEP</w:t>
      </w:r>
      <w:r>
        <w:br/>
      </w:r>
      <w:r>
        <w:rPr>
          <w:rStyle w:val="VerbatimChar"/>
        </w:rPr>
        <w:t xml:space="preserve">Posición:      3G (Vertical)</w:t>
      </w:r>
      <w:r>
        <w:br/>
      </w:r>
      <w:r>
        <w:rPr>
          <w:rStyle w:val="VerbatimChar"/>
        </w:rPr>
        <w:t xml:space="preserve">Progresión:    Ascendente</w:t>
      </w:r>
    </w:p>
    <w:bookmarkEnd w:id="17"/>
    <w:bookmarkStart w:id="18" w:name="inspección-visual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1.3.3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3.3 Inspección Visual</w:t>
      </w:r>
    </w:p>
    <w:p>
      <w:pPr>
        <w:pStyle w:val="FirstParagraph"/>
      </w:pPr>
      <w:r>
        <w:t xml:space="preserve">Criterios de aceptación visual:</w:t>
      </w:r>
    </w:p>
    <w:p>
      <w:pPr>
        <w:pStyle w:val="Compact"/>
        <w:numPr>
          <w:ilvl w:val="0"/>
          <w:numId w:val="1005"/>
        </w:numPr>
      </w:pPr>
      <w:r>
        <w:t xml:space="preserve">✅ Sin grietas visibles</w:t>
      </w:r>
    </w:p>
    <w:p>
      <w:pPr>
        <w:pStyle w:val="Compact"/>
        <w:numPr>
          <w:ilvl w:val="0"/>
          <w:numId w:val="1005"/>
        </w:numPr>
      </w:pPr>
      <w:r>
        <w:t xml:space="preserve">✅ Fusión completa</w:t>
      </w:r>
    </w:p>
    <w:p>
      <w:pPr>
        <w:pStyle w:val="Compact"/>
        <w:numPr>
          <w:ilvl w:val="0"/>
          <w:numId w:val="1005"/>
        </w:numPr>
      </w:pPr>
      <w:r>
        <w:t xml:space="preserve">✅ Perfil de soldadura aceptable</w:t>
      </w:r>
    </w:p>
    <w:p>
      <w:pPr>
        <w:pStyle w:val="Compact"/>
        <w:numPr>
          <w:ilvl w:val="0"/>
          <w:numId w:val="1005"/>
        </w:numPr>
      </w:pPr>
      <w:r>
        <w:t xml:space="preserve">✅ Sin socavado &gt; 0.8 mm</w:t>
      </w:r>
    </w:p>
    <w:p>
      <w:pPr>
        <w:pStyle w:val="Compact"/>
        <w:numPr>
          <w:ilvl w:val="0"/>
          <w:numId w:val="1005"/>
        </w:numPr>
      </w:pPr>
      <w:r>
        <w:t xml:space="preserve">✅ Sin porosidad superficial</w:t>
      </w:r>
    </w:p>
    <w:bookmarkEnd w:id="18"/>
    <w:bookmarkStart w:id="21" w:name="ensayos-destructivos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1.3.4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3.4 Ensayos Destructivos</w:t>
      </w:r>
    </w:p>
    <w:bookmarkStart w:id="19" w:name="prueba-de-doblez"/>
    <w:p>
      <w:pPr>
        <w:pStyle w:val="Heading4"/>
      </w:pPr>
      <w:r>
        <w:rPr>
          <w:rStyle w:val="SectionNumber"/>
          <w:rFonts w:ascii="Montserrat" w:hAnsi="Montserrat"/>
          <w:color w:val="6B7280"/>
          <w:sz w:val="48"/>
        </w:rPr>
        <w:t xml:space="preserve">1.3.4.1</w:t>
      </w:r>
      <w:r>
        <w:rPr>
          <w:rFonts w:ascii="Montserrat" w:hAnsi="Montserrat"/>
          <w:color w:val="6B7280"/>
          <w:sz w:val="48"/>
        </w:rPr>
        <w:tab/>
      </w:r>
      <w:r>
        <w:rPr>
          <w:rFonts w:ascii="Montserrat" w:hAnsi="Montserrat"/>
          <w:color w:val="6B7280"/>
          <w:sz w:val="48"/>
        </w:rPr>
        <w:t xml:space="preserve">Prueba de Doblez</w:t>
      </w:r>
    </w:p>
    <w:p>
      <w:pPr>
        <w:pStyle w:val="FirstParagraph"/>
      </w:pPr>
      <w:r>
        <w:t xml:space="preserve">Los cupones deben someterse a ensayos de doblez según: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Tipo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Cantidad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Ángulo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180°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t xml:space="preserve">Raíz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180°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180°</w:t>
            </w:r>
          </w:p>
        </w:tc>
      </w:tr>
    </w:tbl>
    <w:bookmarkEnd w:id="19"/>
    <w:bookmarkStart w:id="20" w:name="criterios-de-aceptación"/>
    <w:p>
      <w:pPr>
        <w:pStyle w:val="Heading4"/>
      </w:pPr>
      <w:r>
        <w:rPr>
          <w:rStyle w:val="SectionNumber"/>
          <w:rFonts w:ascii="Montserrat" w:hAnsi="Montserrat"/>
          <w:color w:val="6B7280"/>
          <w:sz w:val="48"/>
        </w:rPr>
        <w:t xml:space="preserve">1.3.4.2</w:t>
      </w:r>
      <w:r>
        <w:rPr>
          <w:rFonts w:ascii="Montserrat" w:hAnsi="Montserrat"/>
          <w:color w:val="6B7280"/>
          <w:sz w:val="48"/>
        </w:rPr>
        <w:tab/>
      </w:r>
      <w:r>
        <w:rPr>
          <w:rFonts w:ascii="Montserrat" w:hAnsi="Montserrat"/>
          <w:color w:val="6B7280"/>
          <w:sz w:val="48"/>
        </w:rPr>
        <w:t xml:space="preserve">Criterios de Aceptación</w:t>
      </w:r>
    </w:p>
    <w:p>
      <w:pPr>
        <w:pStyle w:val="FirstParagraph"/>
      </w:pPr>
      <w:r>
        <w:t xml:space="preserve">Para considerarse</w:t>
      </w:r>
      <w:r>
        <w:t xml:space="preserve"> </w:t>
      </w:r>
      <w:r>
        <w:rPr>
          <w:b/>
          <w:bCs/>
        </w:rPr>
        <w:t xml:space="preserve">APROBADO</w:t>
      </w:r>
      <w:r>
        <w:t xml:space="preserve">, el cupón no debe presentar:</w:t>
      </w:r>
    </w:p>
    <w:p>
      <w:pPr>
        <w:pStyle w:val="Compact"/>
        <w:numPr>
          <w:ilvl w:val="0"/>
          <w:numId w:val="1006"/>
        </w:numPr>
      </w:pPr>
      <w:r>
        <w:t xml:space="preserve">Grietas mayores a</w:t>
      </w:r>
      <w:r>
        <w:t xml:space="preserve"> </w:t>
      </w:r>
      <w:r>
        <w:rPr>
          <w:b/>
          <w:bCs/>
        </w:rPr>
        <w:t xml:space="preserve">3 mm</w:t>
      </w:r>
      <w:r>
        <w:t xml:space="preserve"> </w:t>
      </w:r>
      <w:r>
        <w:t xml:space="preserve">en cualquier dirección</w:t>
      </w:r>
    </w:p>
    <w:p>
      <w:pPr>
        <w:pStyle w:val="Compact"/>
        <w:numPr>
          <w:ilvl w:val="0"/>
          <w:numId w:val="1006"/>
        </w:numPr>
      </w:pPr>
      <w:r>
        <w:t xml:space="preserve">Defectos de fusión en los bordes</w:t>
      </w:r>
    </w:p>
    <w:p>
      <w:pPr>
        <w:pStyle w:val="Compact"/>
        <w:numPr>
          <w:ilvl w:val="0"/>
          <w:numId w:val="1006"/>
        </w:numPr>
      </w:pPr>
      <w:r>
        <w:t xml:space="preserve">Inclusiones de escoria mayores a</w:t>
      </w:r>
      <w:r>
        <w:t xml:space="preserve"> </w:t>
      </w:r>
      <w:r>
        <w:rPr>
          <w:b/>
          <w:bCs/>
        </w:rPr>
        <w:t xml:space="preserve">1.5 mm</w:t>
      </w:r>
    </w:p>
    <w:bookmarkEnd w:id="20"/>
    <w:bookmarkEnd w:id="21"/>
    <w:bookmarkEnd w:id="22"/>
    <w:bookmarkStart w:id="25" w:name="documentación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1.4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4. Documentación</w:t>
      </w:r>
    </w:p>
    <w:bookmarkStart w:id="23" w:name="registro-de-cualificación-wqr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1.4.1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4.1 Registro de Cualificación (WQR)</w:t>
      </w:r>
    </w:p>
    <w:p>
      <w:pPr>
        <w:pStyle w:val="FirstParagraph"/>
      </w:pPr>
      <w:r>
        <w:t xml:space="preserve">Todo soldador cualificado debe tener un</w:t>
      </w:r>
      <w:r>
        <w:t xml:space="preserve"> </w:t>
      </w:r>
      <w:r>
        <w:rPr>
          <w:b/>
          <w:bCs/>
        </w:rPr>
        <w:t xml:space="preserve">Welding Qualification Record (WQR)</w:t>
      </w:r>
      <w:r>
        <w:t xml:space="preserve"> </w:t>
      </w:r>
      <w:r>
        <w:t xml:space="preserve">que incluya:</w:t>
      </w:r>
    </w:p>
    <w:p>
      <w:pPr>
        <w:pStyle w:val="Compact"/>
        <w:numPr>
          <w:ilvl w:val="0"/>
          <w:numId w:val="1007"/>
        </w:numPr>
      </w:pPr>
      <w:r>
        <w:t xml:space="preserve">Información del soldador</w:t>
      </w:r>
    </w:p>
    <w:p>
      <w:pPr>
        <w:pStyle w:val="Compact"/>
        <w:numPr>
          <w:ilvl w:val="0"/>
          <w:numId w:val="1007"/>
        </w:numPr>
      </w:pPr>
      <w:r>
        <w:t xml:space="preserve">Proceso utilizado</w:t>
      </w:r>
    </w:p>
    <w:p>
      <w:pPr>
        <w:pStyle w:val="Compact"/>
        <w:numPr>
          <w:ilvl w:val="0"/>
          <w:numId w:val="1007"/>
        </w:numPr>
      </w:pPr>
      <w:r>
        <w:t xml:space="preserve">Variables esenciales</w:t>
      </w:r>
    </w:p>
    <w:p>
      <w:pPr>
        <w:pStyle w:val="Compact"/>
        <w:numPr>
          <w:ilvl w:val="0"/>
          <w:numId w:val="1007"/>
        </w:numPr>
      </w:pPr>
      <w:r>
        <w:t xml:space="preserve">Resultados de ensayos</w:t>
      </w:r>
    </w:p>
    <w:p>
      <w:pPr>
        <w:pStyle w:val="Compact"/>
        <w:numPr>
          <w:ilvl w:val="0"/>
          <w:numId w:val="1007"/>
        </w:numPr>
      </w:pPr>
      <w:r>
        <w:t xml:space="preserve">Rango de cualificación</w:t>
      </w:r>
    </w:p>
    <w:p>
      <w:pPr>
        <w:pStyle w:val="Compact"/>
        <w:numPr>
          <w:ilvl w:val="0"/>
          <w:numId w:val="1007"/>
        </w:numPr>
      </w:pPr>
      <w:r>
        <w:t xml:space="preserve">Fecha de expiración (si aplica)</w:t>
      </w:r>
    </w:p>
    <w:p>
      <w:pPr>
        <w:pStyle w:val="Compact"/>
        <w:numPr>
          <w:ilvl w:val="0"/>
          <w:numId w:val="1007"/>
        </w:numPr>
      </w:pPr>
      <w:r>
        <w:t xml:space="preserve">Firma del Inspector</w:t>
      </w:r>
    </w:p>
    <w:bookmarkEnd w:id="23"/>
    <w:bookmarkStart w:id="24" w:name="renovación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1.4.2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4.2 Renovación</w:t>
      </w:r>
    </w:p>
    <w:p>
      <w:pPr>
        <w:pStyle w:val="FirstParagraph"/>
      </w:pPr>
      <w:r>
        <w:t xml:space="preserve">La cualificación debe renovarse cuando:</w:t>
      </w:r>
    </w:p>
    <w:p>
      <w:pPr>
        <w:pStyle w:val="Compact"/>
        <w:numPr>
          <w:ilvl w:val="0"/>
          <w:numId w:val="1008"/>
        </w:numPr>
      </w:pPr>
      <w:r>
        <w:t xml:space="preserve">Hayan transcurrido</w:t>
      </w:r>
      <w:r>
        <w:t xml:space="preserve"> </w:t>
      </w:r>
      <w:r>
        <w:rPr>
          <w:b/>
          <w:bCs/>
        </w:rPr>
        <w:t xml:space="preserve">6 meses</w:t>
      </w:r>
      <w:r>
        <w:t xml:space="preserve"> </w:t>
      </w:r>
      <w:r>
        <w:t xml:space="preserve">sin soldar con el proceso</w:t>
      </w:r>
    </w:p>
    <w:p>
      <w:pPr>
        <w:pStyle w:val="Compact"/>
        <w:numPr>
          <w:ilvl w:val="0"/>
          <w:numId w:val="1008"/>
        </w:numPr>
      </w:pPr>
      <w:r>
        <w:t xml:space="preserve">Exista razón para dudar de la habilidad</w:t>
      </w:r>
    </w:p>
    <w:p>
      <w:pPr>
        <w:pStyle w:val="Compact"/>
        <w:numPr>
          <w:ilvl w:val="0"/>
          <w:numId w:val="1008"/>
        </w:numPr>
      </w:pPr>
      <w:r>
        <w:t xml:space="preserve">Cambien las variables esenciales</w:t>
      </w:r>
    </w:p>
    <w:bookmarkEnd w:id="24"/>
    <w:bookmarkEnd w:id="25"/>
    <w:bookmarkStart w:id="28" w:name="posiciones-de-soldadura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1.5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5. Posiciones de Soldadura</w:t>
      </w:r>
    </w:p>
    <w:bookmarkStart w:id="26" w:name="designación-según-aws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1.5.1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5.1 Designación según AWS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Posición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Descripción</w:t>
            </w:r>
          </w:p>
        </w:tc>
        <w:tc>
          <w:tcPr>
            <w:shd w:fill="ff7a00"/>
            <w:shd w:fill="ff7a00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2"/>
              </w:rPr>
              <w:t xml:space="preserve">Símbolo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Plana</w:t>
            </w:r>
          </w:p>
        </w:tc>
        <w:tc>
          <w:tcPr/>
          <w:p>
            <w:pPr>
              <w:pStyle w:val="Compact"/>
            </w:pPr>
            <w:r>
              <w:t xml:space="preserve">Soldadura en posición plana</w:t>
            </w:r>
          </w:p>
        </w:tc>
        <w:tc>
          <w:tcPr/>
          <w:p>
            <w:pPr>
              <w:pStyle w:val="Compact"/>
            </w:pPr>
            <w:r>
              <w:t xml:space="preserve">1G / PA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rPr>
                <w:b/>
                <w:bCs/>
              </w:rPr>
              <w:t xml:space="preserve">Horizontal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Soldadura horizontal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2G / 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Soldadura vertical</w:t>
            </w:r>
          </w:p>
        </w:tc>
        <w:tc>
          <w:tcPr/>
          <w:p>
            <w:pPr>
              <w:pStyle w:val="Compact"/>
            </w:pPr>
            <w:r>
              <w:t xml:space="preserve">3G / PF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rPr>
                <w:b/>
                <w:bCs/>
              </w:rPr>
              <w:t xml:space="preserve">Sobrecabeza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Soldadura sobre cabeza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4G /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Tubo horizontal</w:t>
            </w:r>
          </w:p>
        </w:tc>
        <w:tc>
          <w:tcPr/>
          <w:p>
            <w:pPr>
              <w:pStyle w:val="Compact"/>
            </w:pPr>
            <w:r>
              <w:t xml:space="preserve">Tubo en eje horizontal</w:t>
            </w:r>
          </w:p>
        </w:tc>
        <w:tc>
          <w:tcPr/>
          <w:p>
            <w:pPr>
              <w:pStyle w:val="Compact"/>
            </w:pPr>
            <w:r>
              <w:t xml:space="preserve">5G</w:t>
            </w:r>
          </w:p>
        </w:tc>
      </w:tr>
      <w:tr>
        <w:tc>
          <w:tcPr>
            <w:shd w:fill="e5e7eb"/>
          </w:tcPr>
          <w:p>
            <w:pPr>
              <w:pStyle w:val="Compact"/>
            </w:pPr>
            <w:r>
              <w:rPr>
                <w:b/>
                <w:bCs/>
              </w:rPr>
              <w:t xml:space="preserve">Tubo inclinado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Tubo a 45°</w:t>
            </w:r>
          </w:p>
        </w:tc>
        <w:tc>
          <w:tcPr>
            <w:shd w:fill="e5e7eb"/>
          </w:tcPr>
          <w:p>
            <w:pPr>
              <w:pStyle w:val="Compact"/>
            </w:pPr>
            <w:r>
              <w:t xml:space="preserve">6G</w:t>
            </w:r>
          </w:p>
        </w:tc>
      </w:tr>
    </w:tbl>
    <w:bookmarkEnd w:id="26"/>
    <w:bookmarkStart w:id="27" w:name="cualificación-por-posición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1.5.2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5.2 Cualificación por Posición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 Profesional:</w:t>
      </w:r>
      <w:r>
        <w:t xml:space="preserve"> </w:t>
      </w:r>
      <w:r>
        <w:t xml:space="preserve">Cualificar en posición</w:t>
      </w:r>
      <w:r>
        <w:t xml:space="preserve"> </w:t>
      </w:r>
      <w:r>
        <w:rPr>
          <w:b/>
          <w:bCs/>
        </w:rPr>
        <w:t xml:space="preserve">6G</w:t>
      </w:r>
      <w:r>
        <w:t xml:space="preserve"> </w:t>
      </w:r>
      <w:r>
        <w:t xml:space="preserve">cubre todas las demás posiciones para tuberías.</w:t>
      </w:r>
    </w:p>
    <w:bookmarkEnd w:id="27"/>
    <w:bookmarkEnd w:id="28"/>
    <w:bookmarkStart w:id="31" w:name="defectos-comunes-y-soluciones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1.6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6. Defectos Comunes y Soluciones</w:t>
      </w:r>
    </w:p>
    <w:bookmarkStart w:id="29" w:name="porosidad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1.6.1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6.1 Porosidad</w:t>
      </w:r>
    </w:p>
    <w:p>
      <w:pPr>
        <w:pStyle w:val="FirstParagraph"/>
      </w:pPr>
      <w:r>
        <w:rPr>
          <w:b/>
          <w:bCs/>
        </w:rPr>
        <w:t xml:space="preserve">Causas:</w:t>
      </w:r>
      <w:r>
        <w:t xml:space="preserve"> </w:t>
      </w:r>
      <w:r>
        <w:t xml:space="preserve">- Material base contaminado</w:t>
      </w:r>
      <w:r>
        <w:t xml:space="preserve"> </w:t>
      </w:r>
      <w:r>
        <w:t xml:space="preserve">- Gas de protección inadecuado</w:t>
      </w:r>
      <w:r>
        <w:t xml:space="preserve"> </w:t>
      </w:r>
      <w:r>
        <w:t xml:space="preserve">- Humedad en el electrodo</w:t>
      </w:r>
    </w:p>
    <w:p>
      <w:pPr>
        <w:pStyle w:val="BodyText"/>
      </w:pPr>
      <w:r>
        <w:rPr>
          <w:b/>
          <w:bCs/>
        </w:rPr>
        <w:t xml:space="preserve">Soluciones:</w:t>
      </w:r>
      <w:r>
        <w:t xml:space="preserve"> </w:t>
      </w:r>
      <w:r>
        <w:t xml:space="preserve">- Limpiar correctamente</w:t>
      </w:r>
      <w:r>
        <w:t xml:space="preserve"> </w:t>
      </w:r>
      <w:r>
        <w:t xml:space="preserve">- Verificar flujo de gas</w:t>
      </w:r>
      <w:r>
        <w:t xml:space="preserve"> </w:t>
      </w:r>
      <w:r>
        <w:t xml:space="preserve">- Secar electrodos a 150°C / 2h</w:t>
      </w:r>
    </w:p>
    <w:bookmarkEnd w:id="29"/>
    <w:bookmarkStart w:id="30" w:name="falta-de-fusión"/>
    <w:p>
      <w:pPr>
        <w:pStyle w:val="Heading3"/>
      </w:pPr>
      <w:r>
        <w:rPr>
          <w:rStyle w:val="SectionNumber"/>
          <w:rFonts w:ascii="Montserrat" w:hAnsi="Montserrat"/>
          <w:color w:val="6B7280"/>
          <w:sz w:val="56"/>
        </w:rPr>
        <w:t xml:space="preserve">1.6.2</w:t>
      </w:r>
      <w:r>
        <w:rPr>
          <w:rFonts w:ascii="Montserrat" w:hAnsi="Montserrat"/>
          <w:color w:val="6B7280"/>
          <w:sz w:val="56"/>
        </w:rPr>
        <w:tab/>
      </w:r>
      <w:r>
        <w:rPr>
          <w:rFonts w:ascii="Montserrat" w:hAnsi="Montserrat"/>
          <w:color w:val="6B7280"/>
          <w:sz w:val="56"/>
        </w:rPr>
        <w:t xml:space="preserve">6.2 Falta de Fusión</w:t>
      </w:r>
    </w:p>
    <w:p>
      <w:pPr>
        <w:pStyle w:val="FirstParagraph"/>
      </w:pPr>
      <w:r>
        <w:rPr>
          <w:b/>
          <w:bCs/>
        </w:rPr>
        <w:t xml:space="preserve">Causas:</w:t>
      </w:r>
      <w:r>
        <w:t xml:space="preserve"> </w:t>
      </w:r>
      <w:r>
        <w:t xml:space="preserve">- Corriente insuficiente</w:t>
      </w:r>
      <w:r>
        <w:t xml:space="preserve"> </w:t>
      </w:r>
      <w:r>
        <w:t xml:space="preserve">- Velocidad excesiva</w:t>
      </w:r>
      <w:r>
        <w:t xml:space="preserve"> </w:t>
      </w:r>
      <w:r>
        <w:t xml:space="preserve">- Ángulo de electrodo incorrecto</w:t>
      </w:r>
    </w:p>
    <w:p>
      <w:pPr>
        <w:pStyle w:val="BodyText"/>
      </w:pPr>
      <w:r>
        <w:rPr>
          <w:b/>
          <w:bCs/>
        </w:rPr>
        <w:t xml:space="preserve">Soluciones:</w:t>
      </w:r>
      <w:r>
        <w:t xml:space="preserve"> </w:t>
      </w:r>
      <w:r>
        <w:t xml:space="preserve">- Aumentar amperaje</w:t>
      </w:r>
      <w:r>
        <w:t xml:space="preserve"> </w:t>
      </w:r>
      <w:r>
        <w:t xml:space="preserve">- Reducir velocidad de avance</w:t>
      </w:r>
      <w:r>
        <w:t xml:space="preserve"> </w:t>
      </w:r>
      <w:r>
        <w:t xml:space="preserve">- Mantener ángulo correcto (70-90°)</w:t>
      </w:r>
    </w:p>
    <w:bookmarkEnd w:id="30"/>
    <w:bookmarkEnd w:id="31"/>
    <w:bookmarkStart w:id="32" w:name="conclusiones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1.7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7. Conclusiones</w:t>
      </w:r>
    </w:p>
    <w:p>
      <w:pPr>
        <w:pStyle w:val="FirstParagraph"/>
      </w:pPr>
      <w:r>
        <w:t xml:space="preserve">La cualificación adecuada de soldadores es fundamental para:</w:t>
      </w:r>
    </w:p>
    <w:p>
      <w:pPr>
        <w:pStyle w:val="Compact"/>
        <w:numPr>
          <w:ilvl w:val="0"/>
          <w:numId w:val="1009"/>
        </w:numPr>
      </w:pPr>
      <w:r>
        <w:t xml:space="preserve">✅ Garantizar la calidad de las uniones soldadas</w:t>
      </w:r>
    </w:p>
    <w:p>
      <w:pPr>
        <w:pStyle w:val="Compact"/>
        <w:numPr>
          <w:ilvl w:val="0"/>
          <w:numId w:val="1009"/>
        </w:numPr>
      </w:pPr>
      <w:r>
        <w:t xml:space="preserve">✅ Cumplir con requisitos contractuales</w:t>
      </w:r>
    </w:p>
    <w:p>
      <w:pPr>
        <w:pStyle w:val="Compact"/>
        <w:numPr>
          <w:ilvl w:val="0"/>
          <w:numId w:val="1009"/>
        </w:numPr>
      </w:pPr>
      <w:r>
        <w:t xml:space="preserve">✅ Asegurar la integridad estructural</w:t>
      </w:r>
    </w:p>
    <w:p>
      <w:pPr>
        <w:pStyle w:val="Compact"/>
        <w:numPr>
          <w:ilvl w:val="0"/>
          <w:numId w:val="1009"/>
        </w:numPr>
      </w:pPr>
      <w:r>
        <w:t xml:space="preserve">✅ Reducir costos por rechazo</w:t>
      </w:r>
    </w:p>
    <w:p>
      <w:pPr>
        <w:jc w:val="both"/>
      </w:pPr>
      <w:r>
        <w:rPr>
          <w:rFonts w:ascii="Inter" w:hAnsi="Inter"/>
          <w:color w:val="0F1216"/>
          <w:sz w:val="32"/>
        </w:rPr>
        <w:pict>
          <v:rect style="width:0;height:1.5pt" o:hralign="center" o:hrstd="t" o:hr="t"/>
        </w:pict>
      </w:r>
    </w:p>
    <w:bookmarkEnd w:id="32"/>
    <w:bookmarkStart w:id="33" w:name="referencias-bibliográficas"/>
    <w:p>
      <w:pPr>
        <w:pStyle w:val="Heading2"/>
      </w:pPr>
      <w:r>
        <w:rPr>
          <w:rStyle w:val="SectionNumber"/>
          <w:rFonts w:ascii="Montserrat" w:hAnsi="Montserrat"/>
          <w:b/>
          <w:color w:val="2AA1FF"/>
          <w:sz w:val="72"/>
        </w:rPr>
        <w:t xml:space="preserve">1.8</w:t>
      </w:r>
      <w:r>
        <w:rPr>
          <w:rFonts w:ascii="Montserrat" w:hAnsi="Montserrat"/>
          <w:b/>
          <w:color w:val="2AA1FF"/>
          <w:sz w:val="72"/>
        </w:rPr>
        <w:tab/>
      </w:r>
      <w:r>
        <w:rPr>
          <w:rFonts w:ascii="Montserrat" w:hAnsi="Montserrat"/>
          <w:b/>
          <w:color w:val="2AA1FF"/>
          <w:sz w:val="72"/>
        </w:rPr>
        <w:t xml:space="preserve">Referencias Bibliográficas</w:t>
      </w:r>
    </w:p>
    <w:p>
      <w:pPr>
        <w:pStyle w:val="Compact"/>
        <w:numPr>
          <w:ilvl w:val="0"/>
          <w:numId w:val="1010"/>
        </w:numPr>
      </w:pPr>
      <w:r>
        <w:t xml:space="preserve">ASME Boiler and Pressure Vessel Code, Section IX (2021)</w:t>
      </w:r>
    </w:p>
    <w:p>
      <w:pPr>
        <w:pStyle w:val="Compact"/>
        <w:numPr>
          <w:ilvl w:val="0"/>
          <w:numId w:val="1010"/>
        </w:numPr>
      </w:pPr>
      <w:r>
        <w:t xml:space="preserve">AWS D1.1/D1.1M:2020, Structural Welding Code - Steel</w:t>
      </w:r>
    </w:p>
    <w:p>
      <w:pPr>
        <w:pStyle w:val="Compact"/>
        <w:numPr>
          <w:ilvl w:val="0"/>
          <w:numId w:val="1010"/>
        </w:numPr>
      </w:pPr>
      <w:r>
        <w:t xml:space="preserve">ISO 9606-1:2012, Qualification testing of welders</w:t>
      </w:r>
    </w:p>
    <w:p>
      <w:pPr>
        <w:pStyle w:val="Compact"/>
        <w:numPr>
          <w:ilvl w:val="0"/>
          <w:numId w:val="1010"/>
        </w:numPr>
      </w:pPr>
      <w:r>
        <w:t xml:space="preserve">AWS QC1:2007, Standard for AWS Certification of Welding Inspectors</w:t>
      </w:r>
    </w:p>
    <w:p>
      <w:pPr>
        <w:jc w:val="both"/>
      </w:pPr>
      <w:r>
        <w:rPr>
          <w:rFonts w:ascii="Inter" w:hAnsi="Inter"/>
          <w:color w:val="0F1216"/>
          <w:sz w:val="3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elaborado por:</w:t>
      </w:r>
      <w:r>
        <w:t xml:space="preserve"> </w:t>
      </w:r>
      <w:r>
        <w:t xml:space="preserve">WeldTech Solutions</w:t>
      </w:r>
      <w:r>
        <w:br/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Noviembre 2025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bookmarkEnd w:id="33"/>
    <w:bookmarkEnd w:id="34"/>
    <w:p>
      <w:pPr>
        <w:jc w:val="both"/>
      </w:pPr>
      <w:r>
        <w:rPr>
          <w:rFonts w:ascii="Inter" w:hAnsi="Inter"/>
          <w:color w:val="0F1216"/>
          <w:sz w:val="32"/>
        </w:rPr>
        <w:drawing>
          <wp:inline>
            <wp:extent cx="228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dtech-vertical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  <w:r>
        <w:rPr>
          <w:rFonts w:ascii="Inter" w:hAnsi="Inter"/>
          <w:b/>
          <w:color w:val="0F1216"/>
          <w:sz w:val="32"/>
        </w:rPr>
        <w:t>Guía de Cualificación de Soldadores</w:t>
      </w:r>
    </w:p>
    <w:p>
      <w:pPr>
        <w:jc w:val="both"/>
      </w:pPr>
      <w:r>
        <w:rPr>
          <w:rFonts w:ascii="Inter" w:hAnsi="Inter"/>
          <w:color w:val="0F1216"/>
          <w:sz w:val="32"/>
        </w:rPr>
        <w:t>ASME Section IX</w:t>
      </w:r>
    </w:p>
    <w:p>
      <w:pPr>
        <w:jc w:val="both"/>
      </w:pPr>
    </w:p>
    <w:p>
      <w:pPr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4513"/>
        <w:gridCol w:w="4513"/>
      </w:tblGrid>
      <w:tr>
        <w:tc>
          <w:tcPr>
            <w:tcW w:type="dxa" w:w="4513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project:</w:t>
            </w:r>
          </w:p>
        </w:tc>
        <w:tc>
          <w:tcPr>
            <w:tcW w:type="dxa" w:w="4513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Proyecto Ejemplo WeldTech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6B7280"/>
                <w:sz w:val="22"/>
              </w:rPr>
              <w:t>client:</w:t>
            </w:r>
          </w:p>
        </w:tc>
        <w:tc>
          <w:tcPr>
            <w:tcW w:type="dxa" w:w="4513"/>
          </w:tcPr>
          <w:p>
            <w:r>
              <w:rPr>
                <w:color w:val="0F1216"/>
                <w:sz w:val="22"/>
              </w:rPr>
              <w:t>Cliente Ejemplo S.A.</w:t>
            </w:r>
          </w:p>
        </w:tc>
      </w:tr>
      <w:tr>
        <w:tc>
          <w:tcPr>
            <w:tcW w:type="dxa" w:w="4513"/>
            <w:shd w:fill="e5e7eb"/>
          </w:tcPr>
          <w:p>
            <w:r>
              <w:rPr>
                <w:b/>
                <w:color w:val="6B7280"/>
                <w:sz w:val="22"/>
              </w:rPr>
              <w:t>author:</w:t>
            </w:r>
          </w:p>
        </w:tc>
        <w:tc>
          <w:tcPr>
            <w:tcW w:type="dxa" w:w="4513"/>
            <w:shd w:fill="e5e7eb"/>
          </w:tcPr>
          <w:p>
            <w:r>
              <w:rPr>
                <w:color w:val="0F1216"/>
                <w:sz w:val="22"/>
              </w:rPr>
              <w:t>WeldTech Solutions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6B7280"/>
                <w:sz w:val="22"/>
              </w:rPr>
              <w:t>version:</w:t>
            </w:r>
          </w:p>
        </w:tc>
        <w:tc>
          <w:tcPr>
            <w:tcW w:type="dxa" w:w="4513"/>
          </w:tcPr>
          <w:p>
            <w:r>
              <w:rPr>
                <w:color w:val="0F1216"/>
                <w:sz w:val="22"/>
              </w:rPr>
              <w:t>1.0</w:t>
            </w:r>
          </w:p>
        </w:tc>
      </w:tr>
      <w:tr>
        <w:tc>
          <w:tcPr>
            <w:tcW w:type="dxa" w:w="4513"/>
            <w:shd w:fill="e5e7eb"/>
          </w:tcPr>
          <w:p>
            <w:r>
              <w:rPr>
                <w:b/>
                <w:color w:val="6B7280"/>
                <w:sz w:val="22"/>
              </w:rPr>
              <w:t>revision:</w:t>
            </w:r>
          </w:p>
        </w:tc>
        <w:tc>
          <w:tcPr>
            <w:tcW w:type="dxa" w:w="4513"/>
            <w:shd w:fill="e5e7eb"/>
          </w:tcPr>
          <w:p>
            <w:r>
              <w:rPr>
                <w:color w:val="0F1216"/>
                <w:sz w:val="22"/>
              </w:rPr>
              <w:t>RA-00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6B7280"/>
                <w:sz w:val="22"/>
              </w:rPr>
              <w:t>date:</w:t>
            </w:r>
          </w:p>
        </w:tc>
        <w:tc>
          <w:tcPr>
            <w:tcW w:type="dxa" w:w="4513"/>
          </w:tcPr>
          <w:p>
            <w:r>
              <w:rPr>
                <w:color w:val="0F1216"/>
                <w:sz w:val="22"/>
              </w:rPr>
              <w:t>2025-11-07</w:t>
            </w:r>
          </w:p>
        </w:tc>
      </w:tr>
    </w:tbl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Inter" w:hAnsi="Inter"/>
          <w:i/>
          <w:color w:val="0F1216"/>
          <w:sz w:val="32"/>
        </w:rPr>
        <w:t>DOCUMENTO TÉCNICO - CONFIDENCIAL</w:t>
      </w:r>
    </w:p>
    <w:p>
      <w:pPr>
        <w:jc w:val="both"/>
      </w:pPr>
      <w:r>
        <w:rPr>
          <w:rFonts w:ascii="Inter" w:hAnsi="Inter"/>
          <w:color w:val="0F1216"/>
          <w:sz w:val="32"/>
        </w:rPr>
        <w:br w:type="page"/>
      </w:r>
    </w:p>
    <w:p>
      <w:pPr>
        <w:jc w:val="both"/>
      </w:pPr>
      <w:r>
        <w:rPr>
          <w:rFonts w:ascii="Inter" w:hAnsi="Inter"/>
          <w:b/>
          <w:color w:val="0F1216"/>
          <w:sz w:val="32"/>
        </w:rPr>
        <w:t>version_control</w:t>
      </w:r>
    </w:p>
    <w:p>
      <w:pPr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f7a00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256"/>
            <w:shd w:fill="ff7a00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2256"/>
            <w:shd w:fill="ff7a00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author</w:t>
            </w:r>
          </w:p>
        </w:tc>
        <w:tc>
          <w:tcPr>
            <w:tcW w:type="dxa" w:w="2256"/>
            <w:shd w:fill="ff7a00"/>
            <w:shd w:fill="ff7a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2025-11-07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WeldTech Team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Versión inicial del documento</w:t>
            </w:r>
          </w:p>
        </w:tc>
      </w:tr>
    </w:tbl>
    <w:p>
      <w:pPr>
        <w:jc w:val="both"/>
      </w:pPr>
      <w:r>
        <w:rPr>
          <w:rFonts w:ascii="Inter" w:hAnsi="Inter"/>
          <w:color w:val="0F1216"/>
          <w:sz w:val="32"/>
        </w:rPr>
        <w:br w:type="page"/>
      </w:r>
    </w:p>
    <w:sectPr>
      <w:headerReference w:type="default" r:id="rId10"/>
      <w:footerReference w:type="default" r:id="rId11"/>
      <w:footnotePr>
        <w:numRestart w:val="eachSect"/>
      </w:footnotePr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2880"/>
      <w:gridCol w:w="2880"/>
      <w:gridCol w:w="2880"/>
    </w:tblGrid>
    <w:tr>
      <w:tc>
        <w:tcPr>
          <w:tcW w:type="dxa" w:w="2880"/>
        </w:tcPr>
        <w:p>
          <w:pPr>
            <w:jc w:val="left"/>
          </w:pPr>
          <w:r>
            <w:rPr>
              <w:color w:val="6B7280"/>
              <w:sz w:val="16"/>
            </w:rPr>
            <w:t>DOCUMENTO TÉCNICO - CONFIDENCIAL</w:t>
          </w:r>
        </w:p>
      </w:tc>
      <w:tc>
        <w:tcPr>
          <w:tcW w:type="dxa" w:w="2880"/>
        </w:tcPr>
        <w:p>
          <w:pPr>
            <w:jc w:val="center"/>
          </w:pPr>
          <w:r>
            <w:rPr>
              <w:color w:val="6B7280"/>
              <w:sz w:val="18"/>
            </w:rPr>
            <w:fldChar w:fldCharType="begin"/>
            <w:instrText xml:space="preserve">PAGE</w:instrText>
            <w:fldChar w:fldCharType="end"/>
          </w:r>
        </w:p>
      </w:tc>
      <w:tc>
        <w:tcPr>
          <w:tcW w:type="dxa" w:w="2880"/>
        </w:tcPr>
        <w:p>
          <w:pPr>
            <w:jc w:val="right"/>
          </w:pPr>
          <w:r>
            <w:rPr>
              <w:color w:val="6B7280"/>
              <w:sz w:val="16"/>
            </w:rPr>
            <w:t>2025-11-07</w:t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  <w:p>
    <w:r>
      <w:t>________________________________________________________________________________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2025-11-07T22:00:12Z</dcterms:created>
  <dcterms:modified xsi:type="dcterms:W3CDTF">2025-11-07T22:00:12Z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