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color w:val="136865"/>
          <w:sz w:val="20"/>
        </w:rPr>
        <w:t>RELEVO  /  ENTREGA DE CORRECCIÓN</w:t>
      </w:r>
    </w:p>
    <w:p>
      <w:pPr>
        <w:spacing w:after="40"/>
      </w:pPr>
      <w:r>
        <w:rPr>
          <w:rFonts w:ascii="Arial" w:hAnsi="Arial"/>
          <w:b/>
          <w:color w:val="1F2628"/>
          <w:sz w:val="42"/>
        </w:rPr>
        <w:t>Indicadores de validación</w:t>
      </w:r>
    </w:p>
    <w:p>
      <w:pPr>
        <w:spacing w:after="240"/>
      </w:pPr>
      <w:r>
        <w:rPr>
          <w:rFonts w:ascii="Arial" w:hAnsi="Arial"/>
          <w:color w:val="506063"/>
          <w:sz w:val="21"/>
        </w:rPr>
        <w:t>Pauta para revisión docente · Prototipo de interacción · dos días por persona</w:t>
      </w:r>
    </w:p>
    <w:p>
      <w:pPr>
        <w:spacing w:after="100" w:line="269" w:lineRule="auto"/>
      </w:pPr>
      <w:r>
        <w:rPr>
          <w:rFonts w:ascii="Arial" w:hAnsi="Arial"/>
          <w:b/>
          <w:color w:val="1F2628"/>
          <w:sz w:val="22"/>
        </w:rPr>
        <w:t>La evaluación busca saber si se entiende y controla el paso desde una intención elegida hasta un aviso situado. Cada indicador distingue lo observado de lo que la persona declara.</w:t>
      </w:r>
    </w:p>
    <w:p>
      <w:pPr>
        <w:spacing w:after="60" w:line="269" w:lineRule="auto" w:before="180"/>
      </w:pPr>
      <w:r>
        <w:rPr>
          <w:rFonts w:ascii="Arial" w:hAnsi="Arial"/>
          <w:b/>
          <w:color w:val="136865"/>
          <w:sz w:val="24"/>
        </w:rPr>
        <w:t>Configuración y comprensión</w:t>
      </w:r>
    </w:p>
    <w:p>
      <w:pPr>
        <w:pStyle w:val="ListBullet"/>
        <w:spacing w:after="60" w:line="269" w:lineRule="auto"/>
      </w:pPr>
      <w:r>
        <w:rPr>
          <w:rFonts w:ascii="Arial" w:hAnsi="Arial"/>
          <w:color w:val="1F2628"/>
          <w:sz w:val="21"/>
        </w:rPr>
        <w:t>Autonomía: completa actividad, app, tiempo y ubicación sin ayuda / con ayuda / no completa. Anotar en qué paso aparece la duda.</w:t>
      </w:r>
    </w:p>
    <w:p>
      <w:pPr>
        <w:pStyle w:val="ListBullet"/>
        <w:spacing w:after="60" w:line="269" w:lineRule="auto"/>
      </w:pPr>
      <w:r>
        <w:rPr>
          <w:rFonts w:ascii="Arial" w:hAnsi="Arial"/>
          <w:color w:val="1F2628"/>
          <w:sz w:val="21"/>
        </w:rPr>
        <w:t>Modelo de conteo: explica qué app acumula tiempo y si el conteo se pausa al salir. Registrar explicación literal, no solo sí/no.</w:t>
      </w:r>
    </w:p>
    <w:p>
      <w:pPr>
        <w:spacing w:after="60" w:line="269" w:lineRule="auto" w:before="180"/>
      </w:pPr>
      <w:r>
        <w:rPr>
          <w:rFonts w:ascii="Arial" w:hAnsi="Arial"/>
          <w:b/>
          <w:color w:val="136865"/>
          <w:sz w:val="24"/>
        </w:rPr>
        <w:t>Señal y comportamiento</w:t>
      </w:r>
    </w:p>
    <w:p>
      <w:pPr>
        <w:pStyle w:val="ListBullet"/>
        <w:spacing w:after="60" w:line="269" w:lineRule="auto"/>
      </w:pPr>
      <w:r>
        <w:rPr>
          <w:rFonts w:ascii="Arial" w:hAnsi="Arial"/>
          <w:color w:val="1F2628"/>
          <w:sz w:val="21"/>
        </w:rPr>
        <w:t>Ubicación: dónde dejó el parlante y por qué ese lugar le sirve para comenzar la actividad.</w:t>
      </w:r>
    </w:p>
    <w:p>
      <w:pPr>
        <w:pStyle w:val="ListBullet"/>
        <w:spacing w:after="60" w:line="269" w:lineRule="auto"/>
      </w:pPr>
      <w:r>
        <w:rPr>
          <w:rFonts w:ascii="Arial" w:hAnsi="Arial"/>
          <w:color w:val="1F2628"/>
          <w:sz w:val="21"/>
        </w:rPr>
        <w:t>Funcionamiento: aviso tras el tiempo acordado, salida de audio, segundo plano, silencio y desconexión. Registrar hora y fallo técnico por separado.</w:t>
      </w:r>
    </w:p>
    <w:p>
      <w:pPr>
        <w:pStyle w:val="ListBullet"/>
        <w:spacing w:after="60" w:line="269" w:lineRule="auto"/>
      </w:pPr>
      <w:r>
        <w:rPr>
          <w:rFonts w:ascii="Arial" w:hAnsi="Arial"/>
          <w:color w:val="1F2628"/>
          <w:sz w:val="21"/>
        </w:rPr>
        <w:t>Pertinencia: si el aviso llegó en un momento útil, molesto o confuso; pedir un ejemplo concreto.</w:t>
      </w:r>
    </w:p>
    <w:p>
      <w:pPr>
        <w:spacing w:after="60" w:line="269" w:lineRule="auto" w:before="180"/>
      </w:pPr>
      <w:r>
        <w:rPr>
          <w:rFonts w:ascii="Arial" w:hAnsi="Arial"/>
          <w:b/>
          <w:color w:val="136865"/>
          <w:sz w:val="24"/>
        </w:rPr>
        <w:t>Respuesta y control</w:t>
      </w:r>
    </w:p>
    <w:p>
      <w:pPr>
        <w:pStyle w:val="ListBullet"/>
        <w:spacing w:after="60" w:line="269" w:lineRule="auto"/>
      </w:pPr>
      <w:r>
        <w:rPr>
          <w:rFonts w:ascii="Arial" w:hAnsi="Arial"/>
          <w:color w:val="1F2628"/>
          <w:sz w:val="21"/>
        </w:rPr>
        <w:t>Recuperación: si recuerda la actividad y cómo pensaba comenzar sin que se le den pistas.</w:t>
      </w:r>
    </w:p>
    <w:p>
      <w:pPr>
        <w:pStyle w:val="ListBullet"/>
        <w:spacing w:after="60" w:line="269" w:lineRule="auto"/>
      </w:pPr>
      <w:r>
        <w:rPr>
          <w:rFonts w:ascii="Arial" w:hAnsi="Arial"/>
          <w:color w:val="1F2628"/>
          <w:sz w:val="21"/>
        </w:rPr>
        <w:t>Control: si puede silenciar, cambiar de idea o cerrar sin sentirse obligado a realizar la actividad.</w:t>
      </w:r>
    </w:p>
    <w:p>
      <w:pPr>
        <w:pStyle w:val="ListBullet"/>
        <w:spacing w:after="60" w:line="269" w:lineRule="auto"/>
      </w:pPr>
      <w:r>
        <w:rPr>
          <w:rFonts w:ascii="Arial" w:hAnsi="Arial"/>
          <w:color w:val="1F2628"/>
          <w:sz w:val="21"/>
        </w:rPr>
        <w:t>Comodidad: puntuación 1–7 para preparación, claridad del aviso y sonido; acompañar cada valor con una razón.</w:t>
      </w:r>
    </w:p>
    <w:p>
      <w:pPr>
        <w:spacing w:after="60" w:line="269" w:lineRule="auto" w:before="180"/>
      </w:pPr>
      <w:r>
        <w:rPr>
          <w:rFonts w:ascii="Arial" w:hAnsi="Arial"/>
          <w:b/>
          <w:color w:val="136865"/>
          <w:sz w:val="24"/>
        </w:rPr>
        <w:t>Regla de lectura</w:t>
      </w:r>
    </w:p>
    <w:p>
      <w:pPr>
        <w:spacing w:after="100" w:line="269" w:lineRule="auto"/>
      </w:pPr>
      <w:r>
        <w:rPr>
          <w:rFonts w:ascii="Arial" w:hAnsi="Arial"/>
          <w:color w:val="1F2628"/>
          <w:sz w:val="21"/>
        </w:rPr>
        <w:t>Un aviso registrado no demuestra que fue oído. Elegir «comencé» es un autorreporte, no prueba de actividad física. No calcular porcentajes ni declarar eficacia causal con dos casos; comparar recorridos, fallos y explicaciones.</w:t>
      </w:r>
    </w:p>
    <w:p>
      <w:pPr>
        <w:spacing w:after="60" w:line="269" w:lineRule="auto"/>
      </w:pPr>
      <w:r>
        <w:rPr>
          <w:rFonts w:ascii="Arial" w:hAnsi="Arial"/>
          <w:color w:val="506063"/>
          <w:sz w:val="21"/>
        </w:rPr>
        <w:t>Base metodológica: observación de tareas de usabilidad (Nielsen Norman Group, 2019) y diseño centrado en las personas (ISO 9241-210:2019). Indicadores sujetos a ajuste en la corrección.</w:t>
      </w:r>
    </w:p>
    <w:sectPr w:rsidR="00FC693F" w:rsidRPr="0006063C" w:rsidSect="00034616">
      <w:footerReference w:type="default" r:id="rId9"/>
      <w:pgSz w:w="11906" w:h="16838"/>
      <w:pgMar w:top="964" w:right="1134" w:bottom="85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06063"/>
        <w:sz w:val="20"/>
      </w:rPr>
      <w:t>RELEVO · 23.09.2026 · 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F26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12" w:hanging="142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