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color w:val="136865"/>
          <w:sz w:val="20"/>
        </w:rPr>
        <w:t>RELEVO  /  ENTREGA DE CORRECCIÓN</w:t>
      </w:r>
    </w:p>
    <w:p>
      <w:pPr>
        <w:spacing w:after="40"/>
      </w:pPr>
      <w:r>
        <w:rPr>
          <w:rFonts w:ascii="Arial" w:hAnsi="Arial"/>
          <w:b/>
          <w:color w:val="1F2628"/>
          <w:sz w:val="42"/>
        </w:rPr>
        <w:t>Pendientes antes de probar</w:t>
      </w:r>
    </w:p>
    <w:p>
      <w:pPr>
        <w:spacing w:after="240"/>
      </w:pPr>
      <w:r>
        <w:rPr>
          <w:rFonts w:ascii="Arial" w:hAnsi="Arial"/>
          <w:color w:val="506063"/>
          <w:sz w:val="21"/>
        </w:rPr>
        <w:t>Lista de cierre técnico y ético · no equivale a resultados de validación</w:t>
      </w:r>
    </w:p>
    <w:p>
      <w:pPr>
        <w:spacing w:after="100" w:line="269" w:lineRule="auto"/>
      </w:pPr>
      <w:r>
        <w:rPr>
          <w:rFonts w:ascii="Arial" w:hAnsi="Arial"/>
          <w:b/>
          <w:color w:val="1F2628"/>
          <w:sz w:val="22"/>
        </w:rPr>
        <w:t>El prototipo y los instrumentos están preparados para revisión docente. La entrega de un kit a participantes requiere completar estas comprobaciones.</w:t>
      </w:r>
    </w:p>
    <w:p>
      <w:pPr>
        <w:spacing w:after="60" w:line="269" w:lineRule="auto" w:before="180"/>
      </w:pPr>
      <w:r>
        <w:rPr>
          <w:rFonts w:ascii="Arial" w:hAnsi="Arial"/>
          <w:b/>
          <w:color w:val="136865"/>
          <w:sz w:val="24"/>
        </w:rPr>
        <w:t>Kit físico y aplicación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Registrar modelo de teléfono Android, parlante, versión APK y configuración Bluetooth.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Verificar sonido solo en el parlante, con la app fuera de pantalla, y que se detiene al silenciar.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Confirmar que el conteo sigue solo en la aplicación elegida y se pausa al salir.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Probar desconexión, reconexión, volumen, batería, permisos y cierre de ciclo.</w:t>
      </w:r>
    </w:p>
    <w:p>
      <w:pPr>
        <w:spacing w:after="60" w:line="269" w:lineRule="auto" w:before="180"/>
      </w:pPr>
      <w:r>
        <w:rPr>
          <w:rFonts w:ascii="Arial" w:hAnsi="Arial"/>
          <w:b/>
          <w:color w:val="136865"/>
          <w:sz w:val="24"/>
        </w:rPr>
        <w:t>Participación y datos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Completar un medio de contacto real en el consentimiento y las hojas.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Alinear consentimiento en papel y app: finalidad, datos, plazo, retiro y eliminación.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Mostrar un código a cada participante y demostrar localización y borrado local/remoto de sus datos.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Acordar los instrumentos con el docente antes de reclutar o recoger datos.</w:t>
      </w:r>
    </w:p>
    <w:p>
      <w:pPr>
        <w:spacing w:after="60" w:line="269" w:lineRule="auto" w:before="180"/>
      </w:pPr>
      <w:r>
        <w:rPr>
          <w:rFonts w:ascii="Arial" w:hAnsi="Arial"/>
          <w:b/>
          <w:color w:val="136865"/>
          <w:sz w:val="24"/>
        </w:rPr>
        <w:t>Después de la corrección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Registrar cambios pedidos, responsable y fecha; actualizar el plan y la versión de los instrumentos.</w:t>
      </w:r>
    </w:p>
    <w:p>
      <w:pPr>
        <w:spacing w:after="60" w:line="269" w:lineRule="auto"/>
      </w:pPr>
      <w:r>
        <w:rPr>
          <w:rFonts w:ascii="Arial" w:hAnsi="Arial"/>
          <w:color w:val="506063"/>
          <w:sz w:val="21"/>
        </w:rPr>
        <w:t>Si una condición crítica falla, detener esa parte del ensayo y corregirla antes de atribuir dificultades a la persona. Hoy no se reportan testeos con usuarios.</w:t>
      </w:r>
    </w:p>
    <w:sectPr w:rsidR="00FC693F" w:rsidRPr="0006063C" w:rsidSect="00034616">
      <w:footerReference w:type="default" r:id="rId9"/>
      <w:pgSz w:w="11906" w:h="16838"/>
      <w:pgMar w:top="964" w:right="1134" w:bottom="85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06063"/>
        <w:sz w:val="20"/>
      </w:rPr>
      <w:t>RELEVO · 23.09.2026 · 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F26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12" w:hanging="142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