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="600.8727272727272" w:lineRule="auto"/>
        <w:ind w:left="0" w:firstLine="0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Barcelona se ha convertido en una marca. Sus edificios, sus calles y sus monumentos forman parte de un catálogo de imágenes que el turismo consume y reproduce. A veces parece importar menos la arquitectura que la prueba de haber estado allí.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600.8727272727272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La Sagrada Familia cabe en un imán de nevera. Al abrir su envoltorio, queda el molde vacío, la forma de algo que ya no está. Quizás ahí empieza otra arquitectura: la que desaparece detrás de su propia imagen.</w:t>
      </w:r>
    </w:p>
    <w:p w:rsidR="00000000" w:rsidDel="00000000" w:rsidP="00000000" w:rsidRDefault="00000000" w:rsidRPr="00000000" w14:paraId="00000003">
      <w:pPr>
        <w:shd w:fill="ffffff" w:val="clear"/>
        <w:spacing w:after="240" w:before="240" w:line="600.8727272727272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¿Qué vemos cuando miramos Barcelona? ¿La ciudad o su merchandising?</w:t>
      </w:r>
    </w:p>
    <w:p w:rsidR="00000000" w:rsidDel="00000000" w:rsidP="00000000" w:rsidRDefault="00000000" w:rsidRPr="00000000" w14:paraId="00000004">
      <w:pPr>
        <w:shd w:fill="ffffff" w:val="clear"/>
        <w:spacing w:before="240" w:line="600.8727272727272" w:lineRule="auto"/>
        <w:rPr>
          <w:sz w:val="31"/>
          <w:szCs w:val="31"/>
        </w:rPr>
      </w:pPr>
      <w:r w:rsidDel="00000000" w:rsidR="00000000" w:rsidRPr="00000000">
        <w:rPr>
          <w:sz w:val="31"/>
          <w:szCs w:val="31"/>
          <w:rtl w:val="0"/>
        </w:rPr>
        <w:t xml:space="preserve">Una mirada colectiva y a la vez muy personal del mapa invisible de nuestra ciudad.</w:t>
      </w:r>
    </w:p>
    <w:p w:rsidR="00000000" w:rsidDel="00000000" w:rsidP="00000000" w:rsidRDefault="00000000" w:rsidRPr="00000000" w14:paraId="00000005">
      <w:pPr>
        <w:shd w:fill="ffffff" w:val="clear"/>
        <w:spacing w:before="240" w:line="600.8727272727272" w:lineRule="auto"/>
        <w:rPr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before="240" w:line="600.8727272727272" w:lineRule="auto"/>
        <w:ind w:left="3600" w:firstLine="720"/>
        <w:rPr/>
      </w:pPr>
      <w:r w:rsidDel="00000000" w:rsidR="00000000" w:rsidRPr="00000000">
        <w:rPr>
          <w:sz w:val="31"/>
          <w:szCs w:val="31"/>
          <w:rtl w:val="0"/>
        </w:rPr>
        <w:t xml:space="preserve">por Juan Pablo Biazutti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