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81EC0">
      <w:pPr>
        <w:spacing w:line="240" w:lineRule="auto"/>
        <w:jc w:val="both"/>
        <w:rPr>
          <w:rFonts w:ascii="Times New Roman" w:hAnsi="Times New Roman" w:eastAsia="Times New Roman" w:cs="Times New Roman"/>
          <w:sz w:val="12"/>
          <w:szCs w:val="12"/>
        </w:rPr>
      </w:pPr>
    </w:p>
    <w:tbl>
      <w:tblPr>
        <w:tblStyle w:val="9"/>
        <w:tblpPr w:leftFromText="180" w:rightFromText="180" w:vertAnchor="page" w:horzAnchor="margin" w:tblpXSpec="center" w:tblpY="2176"/>
        <w:tblW w:w="954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500"/>
        <w:gridCol w:w="5040"/>
      </w:tblGrid>
      <w:tr w14:paraId="2B1BCD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4" w:hRule="atLeast"/>
        </w:trPr>
        <w:tc>
          <w:tcPr>
            <w:tcW w:w="4500" w:type="dxa"/>
          </w:tcPr>
          <w:p w14:paraId="48C06BAA">
            <w:pPr>
              <w:spacing w:after="0" w:line="240" w:lineRule="auto"/>
              <w:ind w:left="360"/>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Title of the Project</w:t>
            </w:r>
          </w:p>
        </w:tc>
        <w:tc>
          <w:tcPr>
            <w:tcW w:w="5040" w:type="dxa"/>
          </w:tcPr>
          <w:p w14:paraId="18EF3047">
            <w:pPr>
              <w:spacing w:after="0"/>
              <w:rPr>
                <w:rFonts w:ascii="Times New Roman" w:hAnsi="Times New Roman" w:eastAsia="Times New Roman" w:cs="Times New Roman"/>
                <w:b/>
                <w:bCs/>
                <w:kern w:val="2"/>
                <w:sz w:val="24"/>
                <w:szCs w:val="24"/>
                <w:lang w:val="en-US"/>
              </w:rPr>
            </w:pPr>
            <w:r>
              <w:rPr>
                <w:rFonts w:ascii="Times New Roman" w:hAnsi="Times New Roman" w:eastAsia="Times New Roman" w:cs="Times New Roman"/>
                <w:b/>
                <w:bCs/>
                <w:kern w:val="2"/>
                <w:sz w:val="24"/>
                <w:szCs w:val="24"/>
              </w:rPr>
              <w:t>PSAUniFilms: Design and Development of a Mobile Archive and Showcase Platform for CAS-DEVCOM Documentary Films.</w:t>
            </w:r>
          </w:p>
        </w:tc>
      </w:tr>
      <w:tr w14:paraId="424504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7" w:hRule="atLeast"/>
        </w:trPr>
        <w:tc>
          <w:tcPr>
            <w:tcW w:w="4500" w:type="dxa"/>
            <w:vAlign w:val="center"/>
          </w:tcPr>
          <w:p w14:paraId="649E6964">
            <w:pPr>
              <w:spacing w:after="0" w:line="240" w:lineRule="auto"/>
              <w:ind w:left="360"/>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Proponents</w:t>
            </w:r>
          </w:p>
        </w:tc>
        <w:tc>
          <w:tcPr>
            <w:tcW w:w="5040" w:type="dxa"/>
          </w:tcPr>
          <w:p w14:paraId="2C3E0A4E">
            <w:pPr>
              <w:spacing w:after="0"/>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Costales, Mimosa B.</w:t>
            </w:r>
          </w:p>
          <w:p w14:paraId="631E182B">
            <w:pPr>
              <w:spacing w:after="0"/>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Cruz, Sherry Herns M.</w:t>
            </w:r>
          </w:p>
          <w:p w14:paraId="14920E8D">
            <w:pPr>
              <w:spacing w:after="0"/>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Day, Joan Marie Y.</w:t>
            </w:r>
          </w:p>
        </w:tc>
      </w:tr>
      <w:tr w14:paraId="39AA1E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0" w:hRule="atLeast"/>
        </w:trPr>
        <w:tc>
          <w:tcPr>
            <w:tcW w:w="4500" w:type="dxa"/>
            <w:vAlign w:val="center"/>
          </w:tcPr>
          <w:p w14:paraId="6CC69A57">
            <w:pPr>
              <w:spacing w:after="0" w:line="240" w:lineRule="auto"/>
              <w:ind w:left="360"/>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Adviser</w:t>
            </w:r>
          </w:p>
        </w:tc>
        <w:tc>
          <w:tcPr>
            <w:tcW w:w="5040" w:type="dxa"/>
            <w:shd w:val="clear" w:color="auto" w:fill="FFFFFF" w:themeFill="background1"/>
          </w:tcPr>
          <w:p w14:paraId="1A1BDAEB">
            <w:pPr>
              <w:spacing w:after="0" w:line="240" w:lineRule="auto"/>
              <w:rPr>
                <w:rFonts w:ascii="Times New Roman" w:hAnsi="Times New Roman" w:eastAsia="Times New Roman" w:cs="Times New Roman"/>
                <w:b/>
                <w:bCs/>
                <w:kern w:val="2"/>
                <w:sz w:val="24"/>
                <w:szCs w:val="24"/>
                <w:lang w:val="en-US"/>
              </w:rPr>
            </w:pPr>
            <w:r>
              <w:rPr>
                <w:rFonts w:ascii="Times New Roman" w:hAnsi="Times New Roman" w:eastAsia="Times New Roman" w:cs="Times New Roman"/>
                <w:b/>
                <w:bCs/>
                <w:kern w:val="2"/>
                <w:sz w:val="24"/>
                <w:szCs w:val="24"/>
              </w:rPr>
              <w:t>Rodel R. Pentecostes, MSIT</w:t>
            </w:r>
            <w:r>
              <w:rPr>
                <w:rFonts w:ascii="Times New Roman" w:hAnsi="Times New Roman" w:eastAsia="Times New Roman" w:cs="Times New Roman"/>
                <w:b/>
                <w:bCs/>
                <w:kern w:val="2"/>
                <w:sz w:val="24"/>
                <w:szCs w:val="24"/>
              </w:rPr>
              <w:tab/>
            </w:r>
          </w:p>
        </w:tc>
      </w:tr>
      <w:tr w14:paraId="778F2D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trPr>
        <w:tc>
          <w:tcPr>
            <w:tcW w:w="4500" w:type="dxa"/>
            <w:vAlign w:val="center"/>
          </w:tcPr>
          <w:p w14:paraId="4E667F66">
            <w:pPr>
              <w:spacing w:after="0" w:line="240" w:lineRule="auto"/>
              <w:ind w:left="360"/>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Rationale</w:t>
            </w:r>
          </w:p>
        </w:tc>
        <w:tc>
          <w:tcPr>
            <w:tcW w:w="5040" w:type="dxa"/>
            <w:tcBorders>
              <w:bottom w:val="single" w:color="000000" w:themeColor="text1" w:sz="4" w:space="0"/>
            </w:tcBorders>
          </w:tcPr>
          <w:p w14:paraId="4D3255A1">
            <w:pPr>
              <w:spacing w:after="160"/>
              <w:rPr>
                <w:rFonts w:ascii="Times New Roman" w:hAnsi="Times New Roman" w:eastAsia="Times New Roman" w:cs="Times New Roman"/>
                <w:kern w:val="2"/>
                <w:sz w:val="24"/>
                <w:szCs w:val="24"/>
                <w:lang w:val="en-US"/>
              </w:rPr>
            </w:pPr>
            <w:r>
              <w:rPr>
                <w:rFonts w:ascii="Times New Roman" w:hAnsi="Times New Roman" w:eastAsia="Times New Roman" w:cs="Times New Roman"/>
                <w:kern w:val="2"/>
                <w:sz w:val="24"/>
                <w:szCs w:val="24"/>
                <w:lang w:val="en-US"/>
              </w:rPr>
              <w:t xml:space="preserve">The CAS–DEVCOM department of Pampanga State Agricultural University produces documentary films as part of its academic and development communication initiatives. However, these films are currently stored in fragmented and informal ways, such as USB drives, external hard drives, and personal cloud storage. This practice increases the risk of file loss, poor organization, and limited accessibility </w:t>
            </w:r>
          </w:p>
          <w:p w14:paraId="1F0BD8B5">
            <w:pPr>
              <w:spacing w:after="160"/>
              <w:rPr>
                <w:rFonts w:ascii="Times New Roman" w:hAnsi="Times New Roman" w:eastAsia="Times New Roman" w:cs="Times New Roman"/>
                <w:kern w:val="2"/>
                <w:sz w:val="24"/>
                <w:szCs w:val="24"/>
                <w:lang w:val="en-US"/>
              </w:rPr>
            </w:pPr>
            <w:r>
              <w:rPr>
                <w:rFonts w:ascii="Times New Roman" w:hAnsi="Times New Roman" w:eastAsia="Times New Roman" w:cs="Times New Roman"/>
                <w:kern w:val="2"/>
                <w:sz w:val="24"/>
                <w:szCs w:val="24"/>
                <w:lang w:val="en-US"/>
              </w:rPr>
              <w:t>Furthermore, limited access to organized digital archives restricts opportunities for learning, engagement, and knowledge sharing within academic institutions (De Vera, 2020; Santos, 2021). Without a dedicated platform, student documentaries remain scattered and are not maximized for educational and advocacy use.</w:t>
            </w:r>
          </w:p>
          <w:p w14:paraId="48C2DEC4">
            <w:pPr>
              <w:spacing w:after="160"/>
              <w:rPr>
                <w:rFonts w:ascii="Times New Roman" w:hAnsi="Times New Roman" w:eastAsia="Times New Roman" w:cs="Times New Roman"/>
                <w:kern w:val="2"/>
                <w:sz w:val="24"/>
                <w:szCs w:val="24"/>
                <w:lang w:val="en-US"/>
              </w:rPr>
            </w:pPr>
            <w:r>
              <w:rPr>
                <w:rFonts w:ascii="Times New Roman" w:hAnsi="Times New Roman" w:eastAsia="Times New Roman" w:cs="Times New Roman"/>
                <w:kern w:val="2"/>
                <w:sz w:val="24"/>
                <w:szCs w:val="24"/>
                <w:lang w:val="en-US"/>
              </w:rPr>
              <w:t xml:space="preserve">To address these issues, there is a need for a centralized, mobile-accessible system that integrates Semantic Content-Based Video Retrieval (CBVR). The proposed PSAUniFilms mobile application aims to go beyond simple storage by using AI-based content analysis to automatically generate transcripts, summaries, and thematic embeddings. Through this system, student filmmakers can submit their work systematically, while DEVCOM officers can manage and curate content using AI-enhanced moderation tools. </w:t>
            </w:r>
          </w:p>
          <w:p w14:paraId="2B1C4BA8">
            <w:pPr>
              <w:spacing w:after="160"/>
              <w:rPr>
                <w:rFonts w:ascii="Times New Roman" w:hAnsi="Times New Roman" w:eastAsia="Times New Roman" w:cs="Times New Roman"/>
                <w:kern w:val="2"/>
                <w:sz w:val="24"/>
                <w:szCs w:val="24"/>
                <w:lang w:val="en-US"/>
              </w:rPr>
            </w:pPr>
            <w:r>
              <w:rPr>
                <w:rFonts w:ascii="Times New Roman" w:hAnsi="Times New Roman" w:eastAsia="Times New Roman" w:cs="Times New Roman"/>
                <w:kern w:val="2"/>
                <w:sz w:val="24"/>
                <w:szCs w:val="24"/>
                <w:lang w:val="en-US"/>
              </w:rPr>
              <w:t>By implementing semantic search, users can retrieve films based on actual meaning—such as specific spoken dialogue or visual concepts—rather than just titles. This approach ensures proper archiving, safeguards student-produced films from unauthorized redistribution, and enhances the long-term value of CAS–DEVCOM documentaries as accessible tools for social change and academic research.</w:t>
            </w:r>
          </w:p>
        </w:tc>
      </w:tr>
      <w:tr w14:paraId="42F0E4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500" w:type="dxa"/>
            <w:vAlign w:val="center"/>
          </w:tcPr>
          <w:p w14:paraId="4AC3B85C">
            <w:pPr>
              <w:spacing w:after="0" w:line="240" w:lineRule="auto"/>
              <w:ind w:left="360"/>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Objectives</w:t>
            </w:r>
          </w:p>
        </w:tc>
        <w:tc>
          <w:tcPr>
            <w:tcW w:w="5040" w:type="dxa"/>
            <w:tcBorders>
              <w:bottom w:val="single" w:color="auto" w:sz="4" w:space="0"/>
            </w:tcBorders>
          </w:tcPr>
          <w:p w14:paraId="51848C0B">
            <w:pPr>
              <w:rPr>
                <w:rFonts w:ascii="Times New Roman" w:hAnsi="Times New Roman" w:eastAsia="Times New Roman" w:cs="Times New Roman"/>
                <w:b/>
                <w:bCs/>
                <w:kern w:val="2"/>
                <w:sz w:val="24"/>
                <w:szCs w:val="24"/>
                <w:lang w:val="en-US"/>
              </w:rPr>
            </w:pPr>
            <w:r>
              <w:rPr>
                <w:rFonts w:ascii="Times New Roman" w:hAnsi="Times New Roman" w:eastAsia="Times New Roman" w:cs="Times New Roman"/>
                <w:b/>
                <w:bCs/>
                <w:kern w:val="2"/>
                <w:sz w:val="24"/>
                <w:szCs w:val="24"/>
                <w:lang w:val="en-US"/>
              </w:rPr>
              <w:t>General Objective</w:t>
            </w:r>
          </w:p>
          <w:p w14:paraId="4FFB41E4">
            <w:pPr>
              <w:rPr>
                <w:rFonts w:ascii="Times New Roman" w:hAnsi="Times New Roman" w:eastAsia="Times New Roman" w:cs="Times New Roman"/>
                <w:kern w:val="2"/>
                <w:sz w:val="24"/>
                <w:szCs w:val="24"/>
              </w:rPr>
            </w:pPr>
            <w:r>
              <w:rPr>
                <w:rFonts w:ascii="Times New Roman" w:hAnsi="Times New Roman" w:eastAsia="Times New Roman" w:cs="Times New Roman"/>
                <w:kern w:val="2"/>
                <w:sz w:val="24"/>
                <w:szCs w:val="24"/>
              </w:rPr>
              <w:t>To design and develop PSAUniFilms, a mobile-based semantic archive system that stores, organizes, retrieves, and showcases CAS-DEVCOM documentary films using metadata, AI-based content analysis, and Content-Based Video Retrieval.</w:t>
            </w:r>
          </w:p>
          <w:p w14:paraId="63669E79">
            <w:pPr>
              <w:rPr>
                <w:rFonts w:ascii="Times New Roman" w:hAnsi="Times New Roman" w:eastAsia="Times New Roman" w:cs="Times New Roman"/>
                <w:kern w:val="2"/>
                <w:sz w:val="24"/>
                <w:szCs w:val="24"/>
              </w:rPr>
            </w:pPr>
          </w:p>
          <w:p w14:paraId="697372FC">
            <w:pPr>
              <w:rPr>
                <w:rFonts w:ascii="Times New Roman" w:hAnsi="Times New Roman" w:eastAsia="Times New Roman" w:cs="Times New Roman"/>
                <w:bCs/>
                <w:kern w:val="2"/>
                <w:sz w:val="24"/>
                <w:szCs w:val="24"/>
                <w:lang w:val="en-US"/>
              </w:rPr>
            </w:pPr>
            <w:r>
              <w:rPr>
                <w:rFonts w:ascii="Times New Roman" w:hAnsi="Times New Roman" w:eastAsia="Times New Roman" w:cs="Times New Roman"/>
                <w:b/>
                <w:bCs/>
                <w:kern w:val="2"/>
                <w:sz w:val="24"/>
                <w:szCs w:val="24"/>
                <w:lang w:val="en-US"/>
              </w:rPr>
              <w:t>Specific Objectives:</w:t>
            </w:r>
            <w:r>
              <w:rPr>
                <w:rFonts w:ascii="Times New Roman" w:hAnsi="Times New Roman" w:eastAsia="Times New Roman" w:cs="Times New Roman"/>
                <w:bCs/>
                <w:kern w:val="2"/>
                <w:sz w:val="24"/>
                <w:szCs w:val="24"/>
                <w:lang w:val="en-US"/>
              </w:rPr>
              <w:t xml:space="preserve"> </w:t>
            </w:r>
          </w:p>
          <w:p w14:paraId="0D0F2955">
            <w:pPr>
              <w:numPr>
                <w:ilvl w:val="0"/>
                <w:numId w:val="1"/>
              </w:numPr>
              <w:rPr>
                <w:rFonts w:ascii="Times New Roman" w:hAnsi="Times New Roman" w:eastAsia="Times New Roman" w:cs="Times New Roman"/>
                <w:bCs/>
                <w:kern w:val="2"/>
                <w:sz w:val="24"/>
                <w:szCs w:val="24"/>
                <w:lang w:val="en-US"/>
              </w:rPr>
            </w:pPr>
            <w:r>
              <w:rPr>
                <w:rFonts w:ascii="Times New Roman" w:hAnsi="Times New Roman" w:eastAsia="Times New Roman" w:cs="Times New Roman"/>
                <w:bCs/>
                <w:kern w:val="2"/>
                <w:sz w:val="24"/>
                <w:szCs w:val="24"/>
                <w:lang w:val="en-US"/>
              </w:rPr>
              <w:t xml:space="preserve">To develop a film submission and metadata management module that allows student filmmakers to submit documentary films with complete details such as title, year, director, synopsis, contributors, and thematic category. </w:t>
            </w:r>
          </w:p>
          <w:p w14:paraId="59F3E28F">
            <w:pPr>
              <w:numPr>
                <w:ilvl w:val="0"/>
                <w:numId w:val="1"/>
              </w:numPr>
              <w:rPr>
                <w:rFonts w:ascii="Times New Roman" w:hAnsi="Times New Roman" w:eastAsia="Times New Roman" w:cs="Times New Roman"/>
                <w:bCs/>
                <w:kern w:val="2"/>
                <w:sz w:val="24"/>
                <w:szCs w:val="24"/>
                <w:lang w:val="en-US"/>
              </w:rPr>
            </w:pPr>
            <w:r>
              <w:rPr>
                <w:rFonts w:ascii="Times New Roman" w:hAnsi="Times New Roman" w:eastAsia="Times New Roman" w:cs="Times New Roman"/>
                <w:bCs/>
                <w:kern w:val="2"/>
                <w:sz w:val="24"/>
                <w:szCs w:val="24"/>
              </w:rPr>
              <w:t xml:space="preserve">To </w:t>
            </w:r>
            <w:r>
              <w:rPr>
                <w:rFonts w:ascii="Times New Roman" w:hAnsi="Times New Roman" w:eastAsia="Times New Roman" w:cs="Times New Roman"/>
                <w:kern w:val="2"/>
                <w:sz w:val="24"/>
                <w:szCs w:val="24"/>
              </w:rPr>
              <w:t>integrate AI video analysis to automatically generate searchable transcripts, summaries, and content embeddings.</w:t>
            </w:r>
          </w:p>
          <w:p w14:paraId="19B1580E">
            <w:pPr>
              <w:numPr>
                <w:ilvl w:val="0"/>
                <w:numId w:val="1"/>
              </w:numPr>
              <w:rPr>
                <w:rFonts w:ascii="Times New Roman" w:hAnsi="Times New Roman" w:eastAsia="Times New Roman" w:cs="Times New Roman"/>
                <w:bCs/>
                <w:kern w:val="2"/>
                <w:sz w:val="24"/>
                <w:szCs w:val="24"/>
                <w:lang w:val="en-US"/>
              </w:rPr>
            </w:pPr>
            <w:r>
              <w:rPr>
                <w:rFonts w:ascii="Times New Roman" w:hAnsi="Times New Roman" w:eastAsia="Times New Roman" w:cs="Times New Roman"/>
                <w:bCs/>
                <w:kern w:val="2"/>
                <w:sz w:val="24"/>
                <w:szCs w:val="24"/>
                <w:lang w:val="en-US"/>
              </w:rPr>
              <w:t xml:space="preserve">To </w:t>
            </w:r>
            <w:r>
              <w:rPr>
                <w:rFonts w:ascii="Times New Roman" w:hAnsi="Times New Roman" w:eastAsia="Times New Roman" w:cs="Times New Roman"/>
                <w:bCs/>
                <w:kern w:val="2"/>
                <w:sz w:val="24"/>
                <w:szCs w:val="24"/>
              </w:rPr>
              <w:t>develop a semantic search and CBVR module that enables users to retrieve documentary films based on spoken narration, scenes, transcript keywords, detected objects, and thematic meaning.</w:t>
            </w:r>
          </w:p>
          <w:p w14:paraId="438BD113">
            <w:pPr>
              <w:numPr>
                <w:ilvl w:val="0"/>
                <w:numId w:val="1"/>
              </w:numPr>
              <w:rPr>
                <w:rFonts w:ascii="Times New Roman" w:hAnsi="Times New Roman" w:eastAsia="Times New Roman" w:cs="Times New Roman"/>
                <w:bCs/>
                <w:kern w:val="2"/>
                <w:sz w:val="24"/>
                <w:szCs w:val="24"/>
                <w:lang w:val="en-US"/>
              </w:rPr>
            </w:pPr>
            <w:r>
              <w:rPr>
                <w:rFonts w:ascii="Times New Roman" w:hAnsi="Times New Roman" w:eastAsia="Times New Roman" w:cs="Times New Roman"/>
                <w:bCs/>
                <w:kern w:val="2"/>
                <w:sz w:val="24"/>
                <w:szCs w:val="24"/>
                <w:lang w:val="en-US"/>
              </w:rPr>
              <w:t xml:space="preserve">To create a content management and moderation dashboard for DEVCOM officers to review, approve, organize, edit, and manage submitted films before publication. </w:t>
            </w:r>
          </w:p>
          <w:p w14:paraId="65E0A463">
            <w:pPr>
              <w:numPr>
                <w:ilvl w:val="0"/>
                <w:numId w:val="1"/>
              </w:numPr>
              <w:rPr>
                <w:rFonts w:ascii="Times New Roman" w:hAnsi="Times New Roman" w:eastAsia="Times New Roman" w:cs="Times New Roman"/>
                <w:bCs/>
                <w:kern w:val="2"/>
                <w:sz w:val="24"/>
                <w:szCs w:val="24"/>
                <w:lang w:val="en-US"/>
              </w:rPr>
            </w:pPr>
            <w:r>
              <w:rPr>
                <w:rFonts w:ascii="Times New Roman" w:hAnsi="Times New Roman" w:eastAsia="Times New Roman" w:cs="Times New Roman"/>
                <w:bCs/>
                <w:kern w:val="2"/>
                <w:sz w:val="24"/>
                <w:szCs w:val="24"/>
                <w:lang w:val="en-US"/>
              </w:rPr>
              <w:t xml:space="preserve">To integrate content protection features such as restricted access and protected in-app viewing to help safeguard student-produced documentary films from unauthorized redistribution. </w:t>
            </w:r>
          </w:p>
          <w:p w14:paraId="760F45AD">
            <w:pPr>
              <w:numPr>
                <w:ilvl w:val="0"/>
                <w:numId w:val="1"/>
              </w:numPr>
              <w:rPr>
                <w:rFonts w:ascii="Times New Roman" w:hAnsi="Times New Roman" w:eastAsia="Times New Roman" w:cs="Times New Roman"/>
                <w:bCs/>
                <w:kern w:val="2"/>
                <w:sz w:val="24"/>
                <w:szCs w:val="24"/>
                <w:lang w:val="en-US"/>
              </w:rPr>
            </w:pPr>
            <w:r>
              <w:rPr>
                <w:rFonts w:ascii="Times New Roman" w:hAnsi="Times New Roman" w:eastAsia="Times New Roman" w:cs="Times New Roman"/>
                <w:bCs/>
                <w:kern w:val="2"/>
                <w:sz w:val="24"/>
                <w:szCs w:val="24"/>
                <w:lang w:val="en-US"/>
              </w:rPr>
              <w:t>To evaluate the application in terms of usability, functionality, accessibility, and acceptability among selected students, DEVCOM officers, and intended viewers.</w:t>
            </w:r>
            <w:bookmarkStart w:id="0" w:name="_GoBack"/>
            <w:bookmarkEnd w:id="0"/>
          </w:p>
        </w:tc>
      </w:tr>
      <w:tr w14:paraId="5BDD9C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55" w:hRule="atLeast"/>
        </w:trPr>
        <w:tc>
          <w:tcPr>
            <w:tcW w:w="4500" w:type="dxa"/>
            <w:vAlign w:val="center"/>
          </w:tcPr>
          <w:p w14:paraId="2E7236F5">
            <w:pPr>
              <w:spacing w:after="0" w:line="240" w:lineRule="auto"/>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 xml:space="preserve"> Review of Related Literatures and Studies</w:t>
            </w:r>
          </w:p>
        </w:tc>
        <w:tc>
          <w:tcPr>
            <w:tcW w:w="5040" w:type="dxa"/>
            <w:tcBorders>
              <w:top w:val="single" w:color="auto" w:sz="4" w:space="0"/>
            </w:tcBorders>
          </w:tcPr>
          <w:p w14:paraId="69F496F6">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Theme 1: Evolution from Low-Level Features to Semantic Understanding</w:t>
            </w:r>
          </w:p>
          <w:p w14:paraId="2FE0D358">
            <w:pPr>
              <w:spacing w:after="160" w:line="278" w:lineRule="auto"/>
              <w:rPr>
                <w:rFonts w:ascii="Times New Roman" w:hAnsi="Times New Roman" w:cs="Times New Roman"/>
                <w:sz w:val="24"/>
                <w:szCs w:val="24"/>
              </w:rPr>
            </w:pPr>
            <w:r>
              <w:rPr>
                <w:rFonts w:ascii="Times New Roman" w:hAnsi="Times New Roman" w:cs="Times New Roman"/>
                <w:sz w:val="24"/>
                <w:szCs w:val="24"/>
              </w:rPr>
              <w:t>The landscape of Content-Based Video Retrieval (CBVR) has undergone a fundamental transition from analyzing low-level visual descriptors to achieving deep semantic understanding. This evolution focuses on bridging the "semantic gap"—the disconnect between machine-extracted pixel data and human conceptual interpretation. According to Zhang et al. (2020), modern systems prioritize the conceptual meaning of video content over simple color or texture matching. This shift is supported by the work of Liu et al. (2019), who demonstrated that deep learning architectures are now capable of autonomous feature extraction, allowing machines to recognize complex actions and objects without the need for manual metadata entry.</w:t>
            </w:r>
          </w:p>
          <w:p w14:paraId="7D9E5E9B">
            <w:pPr>
              <w:spacing w:after="160"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Theme 2: Advancements in Multimodal Fusion and Natural Language Search</w:t>
            </w:r>
          </w:p>
          <w:p w14:paraId="3FA06BFA">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 critical theme in contemporary research is the integration of multiple data streams—including visual, auditory, and textual information—into a unified retrieval framework. The introduction of the CLIP model by Radford et al. (2021) revolutionized this area by mapping images and text into a shared semantic space. This technology enables zero-shot retrieval, allowing users to query video archives using natural language sentences rather than being restricted to specific keywords. Building on this, Zhu et al. (2023) highlight that the fusion of automated speech-to-text transcripts with visual embeddings creates a significantly more robust search environment, particularly for long-form content such as documentary films where context is paramount.</w:t>
            </w:r>
          </w:p>
          <w:p w14:paraId="085B368E">
            <w:pPr>
              <w:spacing w:after="160"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Theme 3: Contextual Intelligence and Transformer Architectures</w:t>
            </w:r>
          </w:p>
          <w:p w14:paraId="2E48AC2B">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The ability of a system to understand narrative context within a video is increasingly driven by the adoption of Transformer-based models. While Devlin et al. (2019) provided the linguistic foundation through BERT for interpreting the nuances of human queries, Dosovitskiy et al. (2021) expanded this capability to the visual domain with Vision Transformers. These models allow a retrieval system to analyze the spatial and temporal relationships between different elements in a video sequence. For an archival system, this means the machine can "read" a scene to identify complex historical or social themes, ensuring that search results align with the user's actual research intent.</w:t>
            </w:r>
          </w:p>
          <w:p w14:paraId="3501CB82">
            <w:pPr>
              <w:spacing w:after="160"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Theme 4: Computational Efficiency via High-Dimensional Vector Search</w:t>
            </w:r>
          </w:p>
          <w:p w14:paraId="61DAC381">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As multimedia databases expand, the literature has shifted toward solving the challenge of scalability through high-dimensional vector search. Modern retrieval systems convert complex video features into numerical representations known as embeddings. Research by Guo et al. (2020) illustrates that vector similarity search allows for the rapid identification of relevant content by calculating the mathematical proximity between a query vector and the stored video vectors. This methodology ensures that even as a library grows to include thousands of hours of footage, retrieval remains instantaneous and accurate, providing the technical infrastructure necessary for large-scale educational platforms.</w:t>
            </w:r>
          </w:p>
          <w:p w14:paraId="6EB33390">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Theme 5: Mobile Applications in Digital Archiving (Global and Local Context)</w:t>
            </w:r>
          </w:p>
          <w:p w14:paraId="6BCDFDFE">
            <w:pPr>
              <w:spacing w:after="160" w:line="278" w:lineRule="auto"/>
              <w:rPr>
                <w:rFonts w:ascii="Times New Roman" w:hAnsi="Times New Roman" w:cs="Times New Roman"/>
                <w:sz w:val="24"/>
                <w:szCs w:val="24"/>
              </w:rPr>
            </w:pPr>
            <w:r>
              <w:rPr>
                <w:rFonts w:ascii="Times New Roman" w:hAnsi="Times New Roman" w:cs="Times New Roman"/>
                <w:sz w:val="24"/>
                <w:szCs w:val="24"/>
              </w:rPr>
              <w:t>Mobile applications have become central to digital archiving, enabling real</w:t>
            </w:r>
            <w:r>
              <w:rPr>
                <w:rFonts w:ascii="Times New Roman" w:hAnsi="Times New Roman" w:cs="Times New Roman"/>
                <w:sz w:val="24"/>
                <w:szCs w:val="24"/>
              </w:rPr>
              <w:noBreakHyphen/>
            </w:r>
            <w:r>
              <w:rPr>
                <w:rFonts w:ascii="Times New Roman" w:hAnsi="Times New Roman" w:cs="Times New Roman"/>
                <w:sz w:val="24"/>
                <w:szCs w:val="24"/>
              </w:rPr>
              <w:t>time access and portability for multimedia content (Ahmed &amp; Khoo, 2020; Stone, 2019). In higher education, studies show that smartphone</w:t>
            </w:r>
            <w:r>
              <w:rPr>
                <w:rFonts w:ascii="Times New Roman" w:hAnsi="Times New Roman" w:cs="Times New Roman"/>
                <w:sz w:val="24"/>
                <w:szCs w:val="24"/>
              </w:rPr>
              <w:noBreakHyphen/>
            </w:r>
            <w:r>
              <w:rPr>
                <w:rFonts w:ascii="Times New Roman" w:hAnsi="Times New Roman" w:cs="Times New Roman"/>
                <w:sz w:val="24"/>
                <w:szCs w:val="24"/>
              </w:rPr>
              <w:t>based platforms improve student engagement and remote access to learning materials, particularly in contexts where fixed</w:t>
            </w:r>
            <w:r>
              <w:rPr>
                <w:rFonts w:ascii="Times New Roman" w:hAnsi="Times New Roman" w:cs="Times New Roman"/>
                <w:sz w:val="24"/>
                <w:szCs w:val="24"/>
              </w:rPr>
              <w:noBreakHyphen/>
            </w:r>
            <w:r>
              <w:rPr>
                <w:rFonts w:ascii="Times New Roman" w:hAnsi="Times New Roman" w:cs="Times New Roman"/>
                <w:sz w:val="24"/>
                <w:szCs w:val="24"/>
              </w:rPr>
              <w:t>location computers are limited (Johnson &amp; Smith, 2021; Lee &amp; Tan, 2022). In the Philippine setting, research on mobile library systems indicates that app</w:t>
            </w:r>
            <w:r>
              <w:rPr>
                <w:rFonts w:ascii="Times New Roman" w:hAnsi="Times New Roman" w:cs="Times New Roman"/>
                <w:sz w:val="24"/>
                <w:szCs w:val="24"/>
              </w:rPr>
              <w:noBreakHyphen/>
            </w:r>
            <w:r>
              <w:rPr>
                <w:rFonts w:ascii="Times New Roman" w:hAnsi="Times New Roman" w:cs="Times New Roman"/>
                <w:sz w:val="24"/>
                <w:szCs w:val="24"/>
              </w:rPr>
              <w:t>based access boosts information retrieval among students, especially in resource</w:t>
            </w:r>
            <w:r>
              <w:rPr>
                <w:rFonts w:ascii="Times New Roman" w:hAnsi="Times New Roman" w:cs="Times New Roman"/>
                <w:sz w:val="24"/>
                <w:szCs w:val="24"/>
              </w:rPr>
              <w:noBreakHyphen/>
            </w:r>
            <w:r>
              <w:rPr>
                <w:rFonts w:ascii="Times New Roman" w:hAnsi="Times New Roman" w:cs="Times New Roman"/>
                <w:sz w:val="24"/>
                <w:szCs w:val="24"/>
              </w:rPr>
              <w:t>constrained institutions (De Vera, 2020; Santos, 2021). Given the high penetration of smartphones in developing economies, mobile</w:t>
            </w:r>
            <w:r>
              <w:rPr>
                <w:rFonts w:ascii="Times New Roman" w:hAnsi="Times New Roman" w:cs="Times New Roman"/>
                <w:sz w:val="24"/>
                <w:szCs w:val="24"/>
              </w:rPr>
              <w:noBreakHyphen/>
            </w:r>
            <w:r>
              <w:rPr>
                <w:rFonts w:ascii="Times New Roman" w:hAnsi="Times New Roman" w:cs="Times New Roman"/>
                <w:sz w:val="24"/>
                <w:szCs w:val="24"/>
              </w:rPr>
              <w:t>native archives offer a feasible channel for universities to expand reach beyond campus boundaries (World Bank, 2025; UNESCO, 2023).</w:t>
            </w:r>
          </w:p>
          <w:p w14:paraId="5895DBA7">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Theme 6: Multimedia Archiving Practices in Philippine Academic Institutions</w:t>
            </w:r>
          </w:p>
          <w:p w14:paraId="0818828B">
            <w:pPr>
              <w:spacing w:after="160" w:line="278" w:lineRule="auto"/>
              <w:rPr>
                <w:rFonts w:ascii="Times New Roman" w:hAnsi="Times New Roman" w:cs="Times New Roman"/>
                <w:sz w:val="24"/>
                <w:szCs w:val="24"/>
              </w:rPr>
            </w:pPr>
            <w:r>
              <w:rPr>
                <w:rFonts w:ascii="Times New Roman" w:hAnsi="Times New Roman" w:cs="Times New Roman"/>
                <w:sz w:val="24"/>
                <w:szCs w:val="24"/>
              </w:rPr>
              <w:t>Philippine academic archiving of multimedia content remains underdeveloped and highly fragmented. Research on Philippine university repositories highlights that student</w:t>
            </w:r>
            <w:r>
              <w:rPr>
                <w:rFonts w:ascii="Times New Roman" w:hAnsi="Times New Roman" w:cs="Times New Roman"/>
                <w:sz w:val="24"/>
                <w:szCs w:val="24"/>
              </w:rPr>
              <w:noBreakHyphen/>
            </w:r>
            <w:r>
              <w:rPr>
                <w:rFonts w:ascii="Times New Roman" w:hAnsi="Times New Roman" w:cs="Times New Roman"/>
                <w:sz w:val="24"/>
                <w:szCs w:val="24"/>
              </w:rPr>
              <w:t>produced media are often stored on personal devices or informal drives, increasing the risk of data loss and loss of context (Toda, 2018; Reyes, 2019). Furthermore, the lack of standardized repository frameworks affects long-term access and consistency of digital collections (Carandang, 2016). Studies on digital curation in Philippine higher education further point to limited technical skills, infrastructure, and consistent funding, which constrain long</w:t>
            </w:r>
            <w:r>
              <w:rPr>
                <w:rFonts w:ascii="Times New Roman" w:hAnsi="Times New Roman" w:cs="Times New Roman"/>
                <w:sz w:val="24"/>
                <w:szCs w:val="24"/>
              </w:rPr>
              <w:noBreakHyphen/>
            </w:r>
            <w:r>
              <w:rPr>
                <w:rFonts w:ascii="Times New Roman" w:hAnsi="Times New Roman" w:cs="Times New Roman"/>
                <w:sz w:val="24"/>
                <w:szCs w:val="24"/>
              </w:rPr>
              <w:t>term preservation practices (Seafdec Information Center, 2017; Fabros, 2020). Even initiatives that maintain audiovisual thesis databases report restricted access and incomplete metadata records, limiting reuse by students and external researchers (University of the Philippines Film Institute, 2024; Plaridel Journal, 2023).</w:t>
            </w:r>
          </w:p>
          <w:p w14:paraId="2F54BF0D">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Theme 7: Metadata and Digital Humanities Archiving in the Philippines</w:t>
            </w:r>
          </w:p>
          <w:p w14:paraId="6132242C">
            <w:pPr>
              <w:spacing w:after="160" w:line="278" w:lineRule="auto"/>
              <w:rPr>
                <w:rFonts w:ascii="Times New Roman" w:hAnsi="Times New Roman" w:cs="Times New Roman"/>
                <w:sz w:val="24"/>
                <w:szCs w:val="24"/>
              </w:rPr>
            </w:pPr>
            <w:r>
              <w:rPr>
                <w:rFonts w:ascii="Times New Roman" w:hAnsi="Times New Roman" w:cs="Times New Roman"/>
                <w:sz w:val="24"/>
                <w:szCs w:val="24"/>
              </w:rPr>
              <w:t>In digital humanities, metadata is critical for ensuring that archived materials remain meaningful and accessible. Recent Philippine research emphasizes that as we move into the age of artificial intelligence and machine learning, rich descriptive records—such as cultural context, participants, and decolonial narratives—are essential to prevent the "flattening" of digital artifacts (Roman-Tamesis &amp; Cruz, 2024; Pantaleta, 2023). Standardized repository structures are now viewed not just as storage tools, but as critical infrastructures for cultural sustainability and health equity (Royal Lite Global, 2025; Estella, 2019). International standards like Dublin Core continue to provide the necessary interoperability for sharing audiovisual materials across platforms (IASA, 2024; Owen, 2021). However, studies warn that poor metadata disproportionately marginalizes student-led or community-based productions in larger institutional frameworks (UK Research and Innovation, 2024; Day, 2022).</w:t>
            </w:r>
          </w:p>
          <w:p w14:paraId="5BA28CA4">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Theme 8: Film and Documentary Archiving in the Philippine Context</w:t>
            </w:r>
          </w:p>
          <w:p w14:paraId="05FA558F">
            <w:pPr>
              <w:spacing w:after="160" w:line="278" w:lineRule="auto"/>
              <w:rPr>
                <w:rFonts w:ascii="Times New Roman" w:hAnsi="Times New Roman" w:cs="Times New Roman"/>
                <w:sz w:val="24"/>
                <w:szCs w:val="24"/>
              </w:rPr>
            </w:pPr>
            <w:r>
              <w:rPr>
                <w:rFonts w:ascii="Times New Roman" w:hAnsi="Times New Roman" w:cs="Times New Roman"/>
                <w:sz w:val="24"/>
                <w:szCs w:val="24"/>
              </w:rPr>
              <w:t>Film archiving in the Philippines has historically focused on preserving cinematic heritage through physical and digital restoration. Recent work highlights efforts to digitize celluloid and tape-based materials, often prioritizing commercially or culturally established works (BusinessWorld, 2024; Plaridel Journal, 2023). However, scholars note that student and academic documentaries usually receive less attention, with storage protocols favoring professional users (Reyes, 2024; Ledesma, 2021). This gap limits the long</w:t>
            </w:r>
            <w:r>
              <w:rPr>
                <w:rFonts w:ascii="Times New Roman" w:hAnsi="Times New Roman" w:cs="Times New Roman"/>
                <w:sz w:val="24"/>
                <w:szCs w:val="24"/>
              </w:rPr>
              <w:noBreakHyphen/>
            </w:r>
            <w:r>
              <w:rPr>
                <w:rFonts w:ascii="Times New Roman" w:hAnsi="Times New Roman" w:cs="Times New Roman"/>
                <w:sz w:val="24"/>
                <w:szCs w:val="24"/>
              </w:rPr>
              <w:t>term visibility of student</w:t>
            </w:r>
            <w:r>
              <w:rPr>
                <w:rFonts w:ascii="Times New Roman" w:hAnsi="Times New Roman" w:cs="Times New Roman"/>
                <w:sz w:val="24"/>
                <w:szCs w:val="24"/>
              </w:rPr>
              <w:noBreakHyphen/>
            </w:r>
            <w:r>
              <w:rPr>
                <w:rFonts w:ascii="Times New Roman" w:hAnsi="Times New Roman" w:cs="Times New Roman"/>
                <w:sz w:val="24"/>
                <w:szCs w:val="24"/>
              </w:rPr>
              <w:t>generated films, even though they serve important roles in education and participatory media (Garcia &amp; Dela Cruz, 2022; Pedraza &amp; Canoy, 2025).</w:t>
            </w:r>
          </w:p>
          <w:p w14:paraId="6FB10A97">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Theme 9: Thematic Organization in Learning and Media Platforms</w:t>
            </w:r>
          </w:p>
          <w:p w14:paraId="75F0332C">
            <w:pPr>
              <w:spacing w:after="160" w:line="278" w:lineRule="auto"/>
              <w:rPr>
                <w:rFonts w:ascii="Times New Roman" w:hAnsi="Times New Roman" w:cs="Times New Roman"/>
                <w:sz w:val="24"/>
                <w:szCs w:val="24"/>
              </w:rPr>
            </w:pPr>
            <w:r>
              <w:rPr>
                <w:rFonts w:ascii="Times New Roman" w:hAnsi="Times New Roman" w:cs="Times New Roman"/>
                <w:sz w:val="24"/>
                <w:szCs w:val="24"/>
              </w:rPr>
              <w:t>Thematic organization enhances usability and engagement. Research on Philippine media studies shows that thematic analysis improves the way audiences process content, especially when grouped by concepts such as social context or development themes (University of the Philippines Diliman, 2020; Lopez, 2019). In global library systems, topic</w:t>
            </w:r>
            <w:r>
              <w:rPr>
                <w:rFonts w:ascii="Times New Roman" w:hAnsi="Times New Roman" w:cs="Times New Roman"/>
                <w:sz w:val="24"/>
                <w:szCs w:val="24"/>
              </w:rPr>
              <w:noBreakHyphen/>
            </w:r>
            <w:r>
              <w:rPr>
                <w:rFonts w:ascii="Times New Roman" w:hAnsi="Times New Roman" w:cs="Times New Roman"/>
                <w:sz w:val="24"/>
                <w:szCs w:val="24"/>
              </w:rPr>
              <w:t>based navigation increases retrieval accuracy and user satisfaction (OCLC, 2025; Baker, 2022). For Development Communication archives, organizing content by thematic clusters—such as environment, governance, and social development—enables learners to explore issues in a problem</w:t>
            </w:r>
            <w:r>
              <w:rPr>
                <w:rFonts w:ascii="Times New Roman" w:hAnsi="Times New Roman" w:cs="Times New Roman"/>
                <w:sz w:val="24"/>
                <w:szCs w:val="24"/>
              </w:rPr>
              <w:noBreakHyphen/>
            </w:r>
            <w:r>
              <w:rPr>
                <w:rFonts w:ascii="Times New Roman" w:hAnsi="Times New Roman" w:cs="Times New Roman"/>
                <w:sz w:val="24"/>
                <w:szCs w:val="24"/>
              </w:rPr>
              <w:t>oriented way (Alampay, 2020; Fabros, 2021).</w:t>
            </w:r>
          </w:p>
          <w:p w14:paraId="1AE8039E">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Theme 10: Development Communication and Local Documentary Production</w:t>
            </w:r>
          </w:p>
          <w:p w14:paraId="51DF75C7">
            <w:pPr>
              <w:spacing w:after="160" w:line="278" w:lineRule="auto"/>
              <w:rPr>
                <w:rFonts w:ascii="Times New Roman" w:hAnsi="Times New Roman" w:cs="Times New Roman"/>
                <w:sz w:val="24"/>
                <w:szCs w:val="24"/>
              </w:rPr>
            </w:pPr>
            <w:r>
              <w:rPr>
                <w:rFonts w:ascii="Times New Roman" w:hAnsi="Times New Roman" w:cs="Times New Roman"/>
                <w:sz w:val="24"/>
                <w:szCs w:val="24"/>
              </w:rPr>
              <w:t>Development Communication in the Philippines leverages documentary media to raise awareness and promote social change. Audiovisual materials play a crucial role in translating complex issues into accessible narratives for diverse audiences (Garcia &amp; Dela Cruz, 2022; Alampay, 2020). Studies on student</w:t>
            </w:r>
            <w:r>
              <w:rPr>
                <w:rFonts w:ascii="Times New Roman" w:hAnsi="Times New Roman" w:cs="Times New Roman"/>
                <w:sz w:val="24"/>
                <w:szCs w:val="24"/>
              </w:rPr>
              <w:noBreakHyphen/>
            </w:r>
            <w:r>
              <w:rPr>
                <w:rFonts w:ascii="Times New Roman" w:hAnsi="Times New Roman" w:cs="Times New Roman"/>
                <w:sz w:val="24"/>
                <w:szCs w:val="24"/>
              </w:rPr>
              <w:t>produced documentaries further show that short films facilitate critical reflection and advocacy, especially when anchored in participatory methods (Pedraza &amp; Canoy, 2025; Reyes, 2025). However, these projects often lack centralized repositories, limiting their reuse and long</w:t>
            </w:r>
            <w:r>
              <w:rPr>
                <w:rFonts w:ascii="Times New Roman" w:hAnsi="Times New Roman" w:cs="Times New Roman"/>
                <w:sz w:val="24"/>
                <w:szCs w:val="24"/>
              </w:rPr>
              <w:noBreakHyphen/>
            </w:r>
            <w:r>
              <w:rPr>
                <w:rFonts w:ascii="Times New Roman" w:hAnsi="Times New Roman" w:cs="Times New Roman"/>
                <w:sz w:val="24"/>
                <w:szCs w:val="24"/>
              </w:rPr>
              <w:t>term impact (Reyes, 2024; Seafdec Information Center, 2017).</w:t>
            </w:r>
          </w:p>
          <w:p w14:paraId="04B621AC">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Theme 11: Research Gaps in the Philippine Context</w:t>
            </w:r>
          </w:p>
          <w:p w14:paraId="5A3676CF">
            <w:pPr>
              <w:spacing w:after="160" w:line="278" w:lineRule="auto"/>
              <w:rPr>
                <w:rFonts w:ascii="Times New Roman" w:hAnsi="Times New Roman" w:cs="Times New Roman"/>
                <w:sz w:val="24"/>
                <w:szCs w:val="24"/>
              </w:rPr>
            </w:pPr>
            <w:r>
              <w:rPr>
                <w:rFonts w:ascii="Times New Roman" w:hAnsi="Times New Roman" w:cs="Times New Roman"/>
                <w:sz w:val="24"/>
                <w:szCs w:val="24"/>
              </w:rPr>
              <w:t>Existing literature reveals several gaps:</w:t>
            </w:r>
          </w:p>
          <w:p w14:paraId="7678CD4B">
            <w:pPr>
              <w:numPr>
                <w:ilvl w:val="0"/>
                <w:numId w:val="2"/>
              </w:numPr>
              <w:spacing w:after="160" w:line="278" w:lineRule="auto"/>
              <w:rPr>
                <w:rFonts w:ascii="Times New Roman" w:hAnsi="Times New Roman" w:cs="Times New Roman"/>
                <w:sz w:val="24"/>
                <w:szCs w:val="24"/>
              </w:rPr>
            </w:pPr>
            <w:r>
              <w:rPr>
                <w:rFonts w:ascii="Times New Roman" w:hAnsi="Times New Roman" w:cs="Times New Roman"/>
                <w:b/>
                <w:bCs/>
                <w:sz w:val="24"/>
                <w:szCs w:val="24"/>
              </w:rPr>
              <w:t>Accessibility:</w:t>
            </w:r>
            <w:r>
              <w:rPr>
                <w:rFonts w:ascii="Times New Roman" w:hAnsi="Times New Roman" w:cs="Times New Roman"/>
                <w:sz w:val="24"/>
                <w:szCs w:val="24"/>
              </w:rPr>
              <w:t xml:space="preserve"> Very few digital archives are dedicated specifically to student films (Toda, 2018; Plaridel Journal, 2023).</w:t>
            </w:r>
          </w:p>
          <w:p w14:paraId="1368BE3E">
            <w:pPr>
              <w:numPr>
                <w:ilvl w:val="0"/>
                <w:numId w:val="2"/>
              </w:numPr>
              <w:spacing w:after="160" w:line="278" w:lineRule="auto"/>
              <w:rPr>
                <w:rFonts w:ascii="Times New Roman" w:hAnsi="Times New Roman" w:cs="Times New Roman"/>
                <w:sz w:val="24"/>
                <w:szCs w:val="24"/>
              </w:rPr>
            </w:pPr>
            <w:r>
              <w:rPr>
                <w:rFonts w:ascii="Times New Roman" w:hAnsi="Times New Roman" w:cs="Times New Roman"/>
                <w:b/>
                <w:bCs/>
                <w:sz w:val="24"/>
                <w:szCs w:val="24"/>
              </w:rPr>
              <w:t>Mobile Integration:</w:t>
            </w:r>
            <w:r>
              <w:rPr>
                <w:rFonts w:ascii="Times New Roman" w:hAnsi="Times New Roman" w:cs="Times New Roman"/>
                <w:sz w:val="24"/>
                <w:szCs w:val="24"/>
              </w:rPr>
              <w:t xml:space="preserve"> Despite smartphone ubiquity, there is a lack of mobile</w:t>
            </w:r>
            <w:r>
              <w:rPr>
                <w:rFonts w:ascii="Times New Roman" w:hAnsi="Times New Roman" w:cs="Times New Roman"/>
                <w:sz w:val="24"/>
                <w:szCs w:val="24"/>
              </w:rPr>
              <w:noBreakHyphen/>
            </w:r>
            <w:r>
              <w:rPr>
                <w:rFonts w:ascii="Times New Roman" w:hAnsi="Times New Roman" w:cs="Times New Roman"/>
                <w:sz w:val="24"/>
                <w:szCs w:val="24"/>
              </w:rPr>
              <w:t>oriented archiving platforms in Philippine higher education (De Vera, 2020; Santos, 2021).</w:t>
            </w:r>
          </w:p>
          <w:p w14:paraId="34571E13">
            <w:pPr>
              <w:numPr>
                <w:ilvl w:val="0"/>
                <w:numId w:val="2"/>
              </w:numPr>
              <w:spacing w:after="160" w:line="278" w:lineRule="auto"/>
              <w:rPr>
                <w:rFonts w:ascii="Times New Roman" w:hAnsi="Times New Roman" w:cs="Times New Roman"/>
                <w:sz w:val="24"/>
                <w:szCs w:val="24"/>
              </w:rPr>
            </w:pPr>
            <w:r>
              <w:rPr>
                <w:rFonts w:ascii="Times New Roman" w:hAnsi="Times New Roman" w:cs="Times New Roman"/>
                <w:b/>
                <w:bCs/>
                <w:sz w:val="24"/>
                <w:szCs w:val="24"/>
              </w:rPr>
              <w:t>Thematic Depth:</w:t>
            </w:r>
            <w:r>
              <w:rPr>
                <w:rFonts w:ascii="Times New Roman" w:hAnsi="Times New Roman" w:cs="Times New Roman"/>
                <w:sz w:val="24"/>
                <w:szCs w:val="24"/>
              </w:rPr>
              <w:t xml:space="preserve"> Systems often rely on minimal metadata rather than robust, topic-based records (Pantaleta, 2023; Estella, 2019).</w:t>
            </w:r>
          </w:p>
          <w:p w14:paraId="0D2998AB">
            <w:pPr>
              <w:numPr>
                <w:ilvl w:val="0"/>
                <w:numId w:val="2"/>
              </w:numPr>
              <w:spacing w:after="160" w:line="278" w:lineRule="auto"/>
              <w:rPr>
                <w:rFonts w:ascii="Times New Roman" w:hAnsi="Times New Roman" w:cs="Times New Roman"/>
                <w:sz w:val="24"/>
                <w:szCs w:val="24"/>
              </w:rPr>
            </w:pPr>
            <w:r>
              <w:rPr>
                <w:rFonts w:ascii="Times New Roman" w:hAnsi="Times New Roman" w:cs="Times New Roman"/>
                <w:b/>
                <w:bCs/>
                <w:sz w:val="24"/>
                <w:szCs w:val="24"/>
              </w:rPr>
              <w:t>Restrictive Access:</w:t>
            </w:r>
            <w:r>
              <w:rPr>
                <w:rFonts w:ascii="Times New Roman" w:hAnsi="Times New Roman" w:cs="Times New Roman"/>
                <w:sz w:val="24"/>
                <w:szCs w:val="24"/>
              </w:rPr>
              <w:t xml:space="preserve"> Institutional barriers limit the educational utility of existing collections (University of the Philippines Film Institute, 2024; Fabros, 2020).</w:t>
            </w:r>
          </w:p>
          <w:p w14:paraId="10836A87">
            <w:pPr>
              <w:spacing w:after="160" w:line="278" w:lineRule="auto"/>
              <w:rPr>
                <w:rFonts w:ascii="Times New Roman" w:hAnsi="Times New Roman" w:cs="Times New Roman"/>
                <w:sz w:val="24"/>
                <w:szCs w:val="24"/>
              </w:rPr>
            </w:pPr>
          </w:p>
          <w:p w14:paraId="1EBD562A">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t>Synthesis</w:t>
            </w:r>
          </w:p>
          <w:p w14:paraId="0420C83D">
            <w:pPr>
              <w:spacing w:after="160" w:line="278" w:lineRule="auto"/>
              <w:rPr>
                <w:rFonts w:ascii="Times New Roman" w:hAnsi="Times New Roman" w:cs="Times New Roman"/>
                <w:sz w:val="24"/>
                <w:szCs w:val="24"/>
              </w:rPr>
            </w:pPr>
            <w:r>
              <w:rPr>
                <w:rFonts w:ascii="Times New Roman" w:hAnsi="Times New Roman" w:cs="Times New Roman"/>
                <w:sz w:val="24"/>
                <w:szCs w:val="24"/>
              </w:rPr>
              <w:t>The literature shows that CBVR has advanced into AI-based semantic retrieval, enabling video search by meaning and context. However, Philippine academic archives remain fragmented, inaccessible, and lacking semantic features, especially for student films.</w:t>
            </w:r>
          </w:p>
          <w:p w14:paraId="609F571B">
            <w:pPr>
              <w:spacing w:after="160" w:line="278" w:lineRule="auto"/>
              <w:rPr>
                <w:rFonts w:ascii="Times New Roman" w:hAnsi="Times New Roman" w:cs="Times New Roman"/>
                <w:sz w:val="24"/>
                <w:szCs w:val="24"/>
              </w:rPr>
            </w:pPr>
            <w:r>
              <w:rPr>
                <w:rFonts w:ascii="Times New Roman" w:hAnsi="Times New Roman" w:cs="Times New Roman"/>
                <w:sz w:val="24"/>
                <w:szCs w:val="24"/>
              </w:rPr>
              <w:t>PSAUniFilms addresses these gaps by integrating semantic CBVR and mobile access to improve documentary archiving, retrieval, and educational use.</w:t>
            </w:r>
          </w:p>
        </w:tc>
      </w:tr>
      <w:tr w14:paraId="0AD3B5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0" w:hRule="atLeast"/>
        </w:trPr>
        <w:tc>
          <w:tcPr>
            <w:tcW w:w="4500" w:type="dxa"/>
            <w:vAlign w:val="center"/>
          </w:tcPr>
          <w:p w14:paraId="5FC7A1FF">
            <w:pPr>
              <w:spacing w:after="0" w:line="240" w:lineRule="auto"/>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 xml:space="preserve"> Methodology</w:t>
            </w:r>
          </w:p>
        </w:tc>
        <w:tc>
          <w:tcPr>
            <w:tcW w:w="5040" w:type="dxa"/>
          </w:tcPr>
          <w:p w14:paraId="089E92A6">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1. Research Design</w:t>
            </w:r>
          </w:p>
          <w:p w14:paraId="466CAA12">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This study uses a descriptive–developmental research design. The descriptive component examines the current film archiving practices of CAS–DEVCOM, including the use of USB drives, external hard drives, and cloud storage, and identifies problems such as file loss, poor organization, and limited access. The developmental component covers the design, development, and evaluation of the PSAUniFilms mobile application.</w:t>
            </w:r>
          </w:p>
          <w:p w14:paraId="51C53E1E">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A mixed methods approach is used: quantitative data from surveys and evaluation forms are analyzed using mean scores and percentage distributions, while qualitative data from interviews and open ended responses are examined through thematic analysis.</w:t>
            </w:r>
          </w:p>
          <w:p w14:paraId="16ECECFA">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1.1 Data Collection Methods</w:t>
            </w:r>
          </w:p>
          <w:p w14:paraId="1A4BF1C3">
            <w:pPr>
              <w:pStyle w:val="2"/>
              <w:numPr>
                <w:ilvl w:val="0"/>
                <w:numId w:val="3"/>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Survey questionnaires – Identify user needs and preferred features from students, officers, and faculty.</w:t>
            </w:r>
          </w:p>
          <w:p w14:paraId="6E868F7E">
            <w:pPr>
              <w:pStyle w:val="2"/>
              <w:numPr>
                <w:ilvl w:val="0"/>
                <w:numId w:val="3"/>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Semi structured interviews – Gather insights from CAS–DEVCOM faculty and DEVCOM officers on archiving workflows and system expectations.</w:t>
            </w:r>
          </w:p>
          <w:p w14:paraId="3B3BC3D1">
            <w:pPr>
              <w:pStyle w:val="2"/>
              <w:numPr>
                <w:ilvl w:val="0"/>
                <w:numId w:val="3"/>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Direct observation – Review existing storage and retrieval practices at CAS–DEVCOM.</w:t>
            </w:r>
          </w:p>
          <w:p w14:paraId="7ED40A41">
            <w:pPr>
              <w:pStyle w:val="2"/>
              <w:numPr>
                <w:ilvl w:val="0"/>
                <w:numId w:val="3"/>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System testing and evaluation – Assess basic usability, playback quality, search accuracy, and security; offline viewing is treated as an enhancement and not a core requirement.</w:t>
            </w:r>
          </w:p>
          <w:p w14:paraId="279A5DF2">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1.2 Respondents</w:t>
            </w:r>
          </w:p>
          <w:p w14:paraId="6812C9FA">
            <w:pPr>
              <w:pStyle w:val="2"/>
              <w:numPr>
                <w:ilvl w:val="0"/>
                <w:numId w:val="4"/>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CAS–DEVCOM Faculty</w:t>
            </w:r>
          </w:p>
          <w:p w14:paraId="33DB7D73">
            <w:pPr>
              <w:pStyle w:val="2"/>
              <w:numPr>
                <w:ilvl w:val="0"/>
                <w:numId w:val="4"/>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CAS Students</w:t>
            </w:r>
          </w:p>
          <w:p w14:paraId="06686166">
            <w:pPr>
              <w:pStyle w:val="2"/>
              <w:numPr>
                <w:ilvl w:val="0"/>
                <w:numId w:val="4"/>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DEVCOM Officers</w:t>
            </w:r>
          </w:p>
          <w:p w14:paraId="6D6D3781">
            <w:pPr>
              <w:pStyle w:val="2"/>
              <w:numPr>
                <w:ilvl w:val="0"/>
                <w:numId w:val="4"/>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General Public</w:t>
            </w:r>
          </w:p>
          <w:p w14:paraId="11F74B93">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Respondents are selected using purposive sampling, focusing on individuals with direct involvement in or exposure to the film archiving process at CAS–DEVCOM, as well as a small group of general public users to assess broader usability.</w:t>
            </w:r>
          </w:p>
          <w:p w14:paraId="571AF5AE">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1.3 Research Locale</w:t>
            </w:r>
          </w:p>
          <w:p w14:paraId="405005A7">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The study is conducted at Pampanga State Agricultural University (PSAU), specifically within CAS–DEVCOM. System testing is carried out on mobile devices in both on campus and off campus settings.</w:t>
            </w:r>
          </w:p>
          <w:p w14:paraId="58F5B1A8">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1.4 Data Analysis</w:t>
            </w:r>
          </w:p>
          <w:p w14:paraId="64AD59A3">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Quantitative data are analyzed using mean scores and percentage distributions to evaluate user satisfaction and system acceptability. Qualitative data are examined using thematic analysis to identify patterns in user expectations and usability feedback.</w:t>
            </w:r>
          </w:p>
          <w:p w14:paraId="6954B9B9">
            <w:pPr>
              <w:pStyle w:val="2"/>
              <w:spacing w:before="320" w:after="100"/>
              <w:rPr>
                <w:rFonts w:ascii="Times New Roman" w:hAnsi="Times New Roman" w:eastAsia="Arial" w:cs="Times New Roman"/>
                <w:sz w:val="24"/>
                <w:szCs w:val="24"/>
              </w:rPr>
            </w:pPr>
          </w:p>
          <w:p w14:paraId="7265E38B">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2. System Development Framework</w:t>
            </w:r>
          </w:p>
          <w:p w14:paraId="49D73691">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The PSAUniFilms application is developed using a Modified Waterfall methodology, a sequential framework that is adapted to allow controlled feedback between phases. When testing or deployment reveals issues, the team may return to an earlier phase for correction before proceeding. This ensures structured development while accommodating necessary revisions, especially for a feature rich system.</w:t>
            </w:r>
          </w:p>
          <w:p w14:paraId="6055483E">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2.1 Development Phases</w:t>
            </w:r>
          </w:p>
          <w:p w14:paraId="42C15E1F">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Phase 1 — Planning</w:t>
            </w:r>
          </w:p>
          <w:p w14:paraId="0F449ECF">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Define the project scope, user roles (student, DEVCOM officer, general public), film themes (Agriculture, Environment, Health, Livelihood), and user agreement. Identify core features (basic streaming, search, and metadata management) and optional enhancements (offline viewing and advanced security features).</w:t>
            </w:r>
          </w:p>
          <w:p w14:paraId="568D32FB">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Phase 2 — Design</w:t>
            </w:r>
          </w:p>
          <w:p w14:paraId="01E9A17A">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Develop UI/UX prototypes in Figma and plan the system architecture, including database schema and API integration points. Prioritize interfaces that support streaming, search, and metadata management as core flows.</w:t>
            </w:r>
          </w:p>
          <w:p w14:paraId="7AE47413">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Phase 3 — Development</w:t>
            </w:r>
          </w:p>
          <w:p w14:paraId="2A064654">
            <w:pPr>
              <w:pStyle w:val="2"/>
              <w:spacing w:before="320" w:after="100"/>
              <w:ind w:left="360"/>
              <w:rPr>
                <w:rFonts w:ascii="Times New Roman" w:hAnsi="Times New Roman" w:eastAsia="Arial" w:cs="Times New Roman"/>
                <w:b w:val="0"/>
                <w:sz w:val="24"/>
                <w:szCs w:val="24"/>
              </w:rPr>
            </w:pPr>
            <w:r>
              <w:rPr>
                <w:rFonts w:ascii="Times New Roman" w:hAnsi="Times New Roman" w:eastAsia="Arial" w:cs="Times New Roman"/>
                <w:b w:val="0"/>
                <w:sz w:val="24"/>
                <w:szCs w:val="24"/>
              </w:rPr>
              <w:t>• Implement core features:</w:t>
            </w:r>
          </w:p>
          <w:p w14:paraId="4DC4DD4E">
            <w:pPr>
              <w:pStyle w:val="2"/>
              <w:spacing w:before="320" w:after="100"/>
              <w:ind w:left="360"/>
              <w:rPr>
                <w:rFonts w:ascii="Times New Roman" w:hAnsi="Times New Roman" w:eastAsia="Arial" w:cs="Times New Roman"/>
                <w:b w:val="0"/>
                <w:sz w:val="24"/>
                <w:szCs w:val="24"/>
              </w:rPr>
            </w:pPr>
            <w:r>
              <w:rPr>
                <w:rFonts w:ascii="Times New Roman" w:hAnsi="Times New Roman" w:eastAsia="Arial" w:cs="Times New Roman"/>
                <w:b w:val="0"/>
                <w:sz w:val="24"/>
                <w:szCs w:val="24"/>
              </w:rPr>
              <w:t>• Basic user authentication</w:t>
            </w:r>
          </w:p>
          <w:p w14:paraId="146ADC8B">
            <w:pPr>
              <w:pStyle w:val="2"/>
              <w:spacing w:before="320" w:after="100"/>
              <w:ind w:left="360"/>
              <w:rPr>
                <w:rFonts w:ascii="Times New Roman" w:hAnsi="Times New Roman" w:eastAsia="Arial" w:cs="Times New Roman"/>
                <w:b w:val="0"/>
                <w:sz w:val="24"/>
                <w:szCs w:val="24"/>
              </w:rPr>
            </w:pPr>
            <w:r>
              <w:rPr>
                <w:rFonts w:ascii="Times New Roman" w:hAnsi="Times New Roman" w:eastAsia="Arial" w:cs="Times New Roman"/>
                <w:b w:val="0"/>
                <w:sz w:val="24"/>
                <w:szCs w:val="24"/>
              </w:rPr>
              <w:t>• Online film streaming (via unlisted YouTube links)</w:t>
            </w:r>
          </w:p>
          <w:p w14:paraId="629B86DA">
            <w:pPr>
              <w:pStyle w:val="2"/>
              <w:spacing w:before="320" w:after="100"/>
              <w:ind w:left="360"/>
              <w:rPr>
                <w:rFonts w:ascii="Times New Roman" w:hAnsi="Times New Roman" w:eastAsia="Arial" w:cs="Times New Roman"/>
                <w:b w:val="0"/>
                <w:sz w:val="24"/>
                <w:szCs w:val="24"/>
              </w:rPr>
            </w:pPr>
            <w:r>
              <w:rPr>
                <w:rFonts w:ascii="Times New Roman" w:hAnsi="Times New Roman" w:eastAsia="Arial" w:cs="Times New Roman"/>
                <w:b w:val="0"/>
                <w:sz w:val="24"/>
                <w:szCs w:val="24"/>
              </w:rPr>
              <w:t>• Search by title, theme, year, and director</w:t>
            </w:r>
          </w:p>
          <w:p w14:paraId="0391488B">
            <w:pPr>
              <w:pStyle w:val="2"/>
              <w:spacing w:before="320" w:after="100"/>
              <w:ind w:left="360"/>
              <w:rPr>
                <w:rFonts w:ascii="Times New Roman" w:hAnsi="Times New Roman" w:eastAsia="Arial" w:cs="Times New Roman"/>
                <w:b w:val="0"/>
                <w:sz w:val="24"/>
                <w:szCs w:val="24"/>
              </w:rPr>
            </w:pPr>
            <w:r>
              <w:rPr>
                <w:rFonts w:ascii="Times New Roman" w:hAnsi="Times New Roman" w:eastAsia="Arial" w:cs="Times New Roman"/>
                <w:b w:val="0"/>
                <w:sz w:val="24"/>
                <w:szCs w:val="24"/>
              </w:rPr>
              <w:t>• Semantic content-based search using natural language queries, transcript keywords, detected scenes, spoken narration, and thematic similarity</w:t>
            </w:r>
          </w:p>
          <w:p w14:paraId="7798ACD2">
            <w:pPr>
              <w:pStyle w:val="2"/>
              <w:spacing w:before="320" w:after="100"/>
              <w:ind w:left="360"/>
              <w:rPr>
                <w:rFonts w:ascii="Times New Roman" w:hAnsi="Times New Roman" w:eastAsia="Arial" w:cs="Times New Roman"/>
                <w:b w:val="0"/>
                <w:sz w:val="24"/>
                <w:szCs w:val="24"/>
              </w:rPr>
            </w:pPr>
            <w:r>
              <w:rPr>
                <w:rFonts w:ascii="Times New Roman" w:hAnsi="Times New Roman" w:eastAsia="Arial" w:cs="Times New Roman"/>
                <w:b w:val="0"/>
                <w:sz w:val="24"/>
                <w:szCs w:val="24"/>
              </w:rPr>
              <w:t>• Metadata management (title, year, director, synopsis, theme)</w:t>
            </w:r>
          </w:p>
          <w:p w14:paraId="06DB2CF9">
            <w:pPr>
              <w:pStyle w:val="2"/>
              <w:spacing w:before="320" w:after="100"/>
              <w:ind w:left="360"/>
              <w:rPr>
                <w:rFonts w:ascii="Times New Roman" w:hAnsi="Times New Roman" w:eastAsia="Arial" w:cs="Times New Roman"/>
                <w:b w:val="0"/>
                <w:sz w:val="24"/>
                <w:szCs w:val="24"/>
              </w:rPr>
            </w:pPr>
            <w:r>
              <w:rPr>
                <w:rFonts w:ascii="Times New Roman" w:hAnsi="Times New Roman" w:eastAsia="Arial" w:cs="Times New Roman"/>
                <w:b w:val="0"/>
                <w:sz w:val="24"/>
                <w:szCs w:val="24"/>
              </w:rPr>
              <w:t>• AI-generated transcript, summary, and keyword indexing for documentaries</w:t>
            </w:r>
          </w:p>
          <w:p w14:paraId="54B2150F">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Using Flutter (Dart), Firebase Authentication, Firestore, Firebase Cloud Functions, Google Video Intelligence API, Vertex AI / Gemini, and the YouTube Data API v3.</w:t>
            </w:r>
          </w:p>
          <w:p w14:paraId="5BBBB856">
            <w:pPr>
              <w:pStyle w:val="2"/>
              <w:spacing w:before="320" w:after="100"/>
              <w:rPr>
                <w:rFonts w:ascii="Times New Roman" w:hAnsi="Times New Roman" w:eastAsia="Arial" w:cs="Times New Roman"/>
                <w:b w:val="0"/>
                <w:sz w:val="24"/>
                <w:szCs w:val="24"/>
              </w:rPr>
            </w:pPr>
            <w:r>
              <w:rPr>
                <w:rFonts w:ascii="Times New Roman" w:hAnsi="Times New Roman" w:eastAsia="Arial" w:cs="Times New Roman"/>
                <w:sz w:val="24"/>
                <w:szCs w:val="24"/>
              </w:rPr>
              <w:t>Optional or later iteration features</w:t>
            </w:r>
            <w:r>
              <w:rPr>
                <w:rFonts w:ascii="Times New Roman" w:hAnsi="Times New Roman" w:eastAsia="Arial" w:cs="Times New Roman"/>
                <w:b w:val="0"/>
                <w:sz w:val="24"/>
                <w:szCs w:val="24"/>
              </w:rPr>
              <w:t>: offline viewing, download controls, and enhanced security measures.</w:t>
            </w:r>
          </w:p>
          <w:p w14:paraId="4B9B9EBF">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Phase 4 — Testing</w:t>
            </w:r>
          </w:p>
          <w:p w14:paraId="2C25E79F">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Evaluate performance, usability, playback quality, search accuracy, and basic security. Offline viewing behavior is tested as an optional enhancement, with clear acknowledgment of technical limits (e.g., users may still download content through other means if videos are shared outside the app).</w:t>
            </w:r>
          </w:p>
          <w:p w14:paraId="45337742">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Phase 5 — Deployment</w:t>
            </w:r>
          </w:p>
          <w:p w14:paraId="6272F72A">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Release a beta version for real world testing and collect feedback from respondents. If critical issues are found in core features, the team may return to earlier phases for correction. Optional features may be deferred or scaled down if the project timeline or complexity does not allow full implementation.</w:t>
            </w:r>
          </w:p>
          <w:p w14:paraId="6F80FE71">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Phase 6 — Finalization</w:t>
            </w:r>
          </w:p>
          <w:p w14:paraId="42AE1C61">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Incorporate feedback on core features, complete documentation, and prepare the system for handover to CAS–DEVCOM.</w:t>
            </w:r>
          </w:p>
          <w:p w14:paraId="2C837B4C">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2.2 Tools, Technologies, and Security (with honest limits)</w:t>
            </w:r>
          </w:p>
          <w:p w14:paraId="7140DB66">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ab/>
            </w:r>
            <w:r>
              <w:rPr>
                <w:rFonts w:ascii="Times New Roman" w:hAnsi="Times New Roman" w:eastAsia="Arial" w:cs="Times New Roman"/>
                <w:b w:val="0"/>
                <w:sz w:val="24"/>
                <w:szCs w:val="24"/>
              </w:rPr>
              <w:t>The application is developed using Flutter (Dart) for cross-platform mobile deployment. Firebase Authentication manages user access, while Cloud Firestore stores metadata and user data. Documentary videos are streamed through unlisted YouTube links or cloud storage.</w:t>
            </w:r>
          </w:p>
          <w:p w14:paraId="03048896">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ab/>
            </w:r>
            <w:r>
              <w:rPr>
                <w:rFonts w:ascii="Times New Roman" w:hAnsi="Times New Roman" w:eastAsia="Arial" w:cs="Times New Roman"/>
                <w:b w:val="0"/>
                <w:sz w:val="24"/>
                <w:szCs w:val="24"/>
              </w:rPr>
              <w:t>For semantic Content-Based Video Retrieval (CBVR), Google Video Intelligence API extracts transcripts, scenes, and objects from videos, while Vertex AI / Gemini generates summaries, keywords, and embeddings. These are indexed using Firestore Vector Search to support natural language documentary search.</w:t>
            </w:r>
          </w:p>
          <w:p w14:paraId="5C061AA4">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system implements semantic Content-Based Video Retrieval (CBVR) by transforming both video content and user queries into vector embeddings. These embeddings represent the semantic meaning of the data and are stored in a vector-enabled database. Retrieval is performed through similarity matching, allowing the system to return videos based on contextual relevance rather than exact keyword matches.</w:t>
            </w:r>
          </w:p>
          <w:p w14:paraId="3FAC66A2">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ab/>
            </w:r>
            <w:r>
              <w:rPr>
                <w:rFonts w:ascii="Times New Roman" w:hAnsi="Times New Roman" w:eastAsia="Arial" w:cs="Times New Roman"/>
                <w:b w:val="0"/>
                <w:sz w:val="24"/>
                <w:szCs w:val="24"/>
              </w:rPr>
              <w:t>Firebase Cloud Functions automates processing tasks, Figma is used for UI/UX design, and Firebase Cloud Messaging may support notifications.</w:t>
            </w:r>
          </w:p>
          <w:p w14:paraId="5902BA00">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Security measures include:</w:t>
            </w:r>
          </w:p>
          <w:p w14:paraId="58A66B03">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 FLAG_SECURE and secure display methods to reduce screen capture</w:t>
            </w:r>
          </w:p>
          <w:p w14:paraId="03644A34">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 Watermark overlay on videos</w:t>
            </w:r>
          </w:p>
          <w:p w14:paraId="397F66E3">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 Role-based access control</w:t>
            </w:r>
          </w:p>
          <w:p w14:paraId="3B0C992B">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 User agreement against unauthorized sharing</w:t>
            </w:r>
          </w:p>
          <w:p w14:paraId="1BB1F10A">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However, these are deterrents only, as complete prevention of copying or redistribution cannot be guaranteed.</w:t>
            </w:r>
          </w:p>
          <w:p w14:paraId="7C00AF34">
            <w:pPr>
              <w:pStyle w:val="2"/>
              <w:spacing w:before="320" w:after="100"/>
              <w:rPr>
                <w:rFonts w:ascii="Times New Roman" w:hAnsi="Times New Roman" w:eastAsia="Arial" w:cs="Times New Roman"/>
                <w:b w:val="0"/>
                <w:sz w:val="24"/>
                <w:szCs w:val="24"/>
              </w:rPr>
            </w:pPr>
          </w:p>
          <w:p w14:paraId="7AF3F593">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2.3 Data Workflow</w:t>
            </w:r>
          </w:p>
          <w:p w14:paraId="53853D93">
            <w:pPr>
              <w:pStyle w:val="2"/>
              <w:spacing w:before="320" w:after="100"/>
              <w:rPr>
                <w:rFonts w:ascii="Times New Roman" w:hAnsi="Times New Roman" w:eastAsia="Arial" w:cs="Times New Roman"/>
                <w:bCs w:val="0"/>
                <w:sz w:val="24"/>
                <w:szCs w:val="24"/>
              </w:rPr>
            </w:pPr>
            <w:r>
              <w:rPr>
                <w:rFonts w:ascii="Times New Roman" w:hAnsi="Times New Roman" w:eastAsia="Arial" w:cs="Times New Roman"/>
                <w:bCs w:val="0"/>
                <w:sz w:val="24"/>
                <w:szCs w:val="24"/>
              </w:rPr>
              <w:t>Ingest</w:t>
            </w:r>
          </w:p>
          <w:p w14:paraId="1CCD1028">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Upload documentary</w:t>
            </w:r>
          </w:p>
          <w:p w14:paraId="2D5F66FF">
            <w:pPr>
              <w:pStyle w:val="2"/>
              <w:spacing w:before="320" w:after="100"/>
              <w:rPr>
                <w:rFonts w:ascii="Times New Roman" w:hAnsi="Times New Roman" w:eastAsia="Arial" w:cs="Times New Roman"/>
                <w:bCs w:val="0"/>
                <w:sz w:val="24"/>
                <w:szCs w:val="24"/>
              </w:rPr>
            </w:pPr>
            <w:r>
              <w:rPr>
                <w:rFonts w:ascii="Times New Roman" w:hAnsi="Times New Roman" w:eastAsia="Arial" w:cs="Times New Roman"/>
                <w:bCs w:val="0"/>
                <w:sz w:val="24"/>
                <w:szCs w:val="24"/>
              </w:rPr>
              <w:t>Analyze</w:t>
            </w:r>
          </w:p>
          <w:p w14:paraId="38FC1A1A">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AI extracts:</w:t>
            </w:r>
          </w:p>
          <w:p w14:paraId="3A821796">
            <w:pPr>
              <w:pStyle w:val="2"/>
              <w:numPr>
                <w:ilvl w:val="0"/>
                <w:numId w:val="5"/>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transcript</w:t>
            </w:r>
          </w:p>
          <w:p w14:paraId="2BCF9B8D">
            <w:pPr>
              <w:pStyle w:val="2"/>
              <w:numPr>
                <w:ilvl w:val="0"/>
                <w:numId w:val="5"/>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narration</w:t>
            </w:r>
          </w:p>
          <w:p w14:paraId="568F43B1">
            <w:pPr>
              <w:pStyle w:val="2"/>
              <w:numPr>
                <w:ilvl w:val="0"/>
                <w:numId w:val="5"/>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labels</w:t>
            </w:r>
          </w:p>
          <w:p w14:paraId="5124C47A">
            <w:pPr>
              <w:pStyle w:val="2"/>
              <w:numPr>
                <w:ilvl w:val="0"/>
                <w:numId w:val="5"/>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objects</w:t>
            </w:r>
          </w:p>
          <w:p w14:paraId="0A925ABC">
            <w:pPr>
              <w:pStyle w:val="2"/>
              <w:numPr>
                <w:ilvl w:val="0"/>
                <w:numId w:val="5"/>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OCR text</w:t>
            </w:r>
          </w:p>
          <w:p w14:paraId="2BAF8CAE">
            <w:pPr>
              <w:pStyle w:val="2"/>
              <w:numPr>
                <w:ilvl w:val="0"/>
                <w:numId w:val="5"/>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scenes</w:t>
            </w:r>
          </w:p>
          <w:p w14:paraId="17530EC6">
            <w:pPr>
              <w:pStyle w:val="2"/>
              <w:spacing w:before="320" w:after="100"/>
              <w:rPr>
                <w:rFonts w:ascii="Times New Roman" w:hAnsi="Times New Roman" w:eastAsia="Arial" w:cs="Times New Roman"/>
                <w:bCs w:val="0"/>
                <w:sz w:val="24"/>
                <w:szCs w:val="24"/>
              </w:rPr>
            </w:pPr>
            <w:r>
              <w:rPr>
                <w:rFonts w:ascii="Times New Roman" w:hAnsi="Times New Roman" w:eastAsia="Arial" w:cs="Times New Roman"/>
                <w:bCs w:val="0"/>
                <w:sz w:val="24"/>
                <w:szCs w:val="24"/>
              </w:rPr>
              <w:t>Process</w:t>
            </w:r>
          </w:p>
          <w:p w14:paraId="5757C641">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Convert content into embeddings</w:t>
            </w:r>
          </w:p>
          <w:p w14:paraId="68C41A14">
            <w:pPr>
              <w:pStyle w:val="2"/>
              <w:spacing w:before="320" w:after="100"/>
              <w:rPr>
                <w:rFonts w:ascii="Times New Roman" w:hAnsi="Times New Roman" w:eastAsia="Arial" w:cs="Times New Roman"/>
                <w:bCs w:val="0"/>
                <w:sz w:val="24"/>
                <w:szCs w:val="24"/>
              </w:rPr>
            </w:pPr>
            <w:r>
              <w:rPr>
                <w:rFonts w:ascii="Times New Roman" w:hAnsi="Times New Roman" w:eastAsia="Arial" w:cs="Times New Roman"/>
                <w:bCs w:val="0"/>
                <w:sz w:val="24"/>
                <w:szCs w:val="24"/>
              </w:rPr>
              <w:t>Store</w:t>
            </w:r>
          </w:p>
          <w:p w14:paraId="399D77B2">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Metadata + embeddings</w:t>
            </w:r>
          </w:p>
          <w:p w14:paraId="1CF162A2">
            <w:pPr>
              <w:pStyle w:val="2"/>
              <w:spacing w:before="320" w:after="100"/>
              <w:rPr>
                <w:rFonts w:ascii="Times New Roman" w:hAnsi="Times New Roman" w:eastAsia="Arial" w:cs="Times New Roman"/>
                <w:bCs w:val="0"/>
                <w:sz w:val="24"/>
                <w:szCs w:val="24"/>
              </w:rPr>
            </w:pPr>
            <w:r>
              <w:rPr>
                <w:rFonts w:ascii="Times New Roman" w:hAnsi="Times New Roman" w:eastAsia="Arial" w:cs="Times New Roman"/>
                <w:bCs w:val="0"/>
                <w:sz w:val="24"/>
                <w:szCs w:val="24"/>
              </w:rPr>
              <w:t>Retrieve:</w:t>
            </w:r>
          </w:p>
          <w:p w14:paraId="66DD1106">
            <w:pPr>
              <w:pStyle w:val="2"/>
              <w:spacing w:before="320" w:after="100"/>
              <w:rPr>
                <w:rFonts w:ascii="Times New Roman" w:hAnsi="Times New Roman" w:eastAsia="Arial" w:cs="Times New Roman"/>
                <w:bCs w:val="0"/>
                <w:sz w:val="24"/>
                <w:szCs w:val="24"/>
              </w:rPr>
            </w:pPr>
            <w:r>
              <w:rPr>
                <w:rFonts w:ascii="Times New Roman" w:hAnsi="Times New Roman" w:eastAsia="Arial" w:cs="Times New Roman"/>
                <w:bCs w:val="0"/>
                <w:sz w:val="24"/>
                <w:szCs w:val="24"/>
              </w:rPr>
              <w:t>Query Processing</w:t>
            </w:r>
          </w:p>
          <w:p w14:paraId="264BF535">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When a user submits a search query (e.g., “farmers affected by climate change”), the system converts the query into a vector embedding using AI models.</w:t>
            </w:r>
          </w:p>
          <w:p w14:paraId="4B0AC1C1">
            <w:pPr>
              <w:pStyle w:val="2"/>
              <w:spacing w:before="320" w:after="100"/>
              <w:rPr>
                <w:rFonts w:ascii="Times New Roman" w:hAnsi="Times New Roman" w:eastAsia="Arial" w:cs="Times New Roman"/>
                <w:bCs w:val="0"/>
                <w:sz w:val="24"/>
                <w:szCs w:val="24"/>
              </w:rPr>
            </w:pPr>
            <w:r>
              <w:rPr>
                <w:rFonts w:ascii="Times New Roman" w:hAnsi="Times New Roman" w:eastAsia="Arial" w:cs="Times New Roman"/>
                <w:bCs w:val="0"/>
                <w:sz w:val="24"/>
                <w:szCs w:val="24"/>
              </w:rPr>
              <w:t>Similarity Matching</w:t>
            </w:r>
          </w:p>
          <w:p w14:paraId="52510FB0">
            <w:pPr>
              <w:pStyle w:val="2"/>
              <w:spacing w:before="320" w:after="100"/>
              <w:rPr>
                <w:rFonts w:ascii="Times New Roman" w:hAnsi="Times New Roman" w:eastAsia="Arial" w:cs="Times New Roman"/>
                <w:sz w:val="24"/>
                <w:szCs w:val="24"/>
              </w:rPr>
            </w:pPr>
            <w:r>
              <w:rPr>
                <w:rFonts w:ascii="Times New Roman" w:hAnsi="Times New Roman" w:eastAsia="Arial" w:cs="Times New Roman"/>
                <w:b w:val="0"/>
                <w:sz w:val="24"/>
                <w:szCs w:val="24"/>
              </w:rPr>
              <w:t>The generated query embedding is compared with stored video embeddings using vector similarity search (e.g., cosine similarity or nearest neighbor search). Videos with the closest semantic similarity are retrieved and ranked accordingly.</w:t>
            </w:r>
            <w:r>
              <w:rPr>
                <w:rFonts w:ascii="Times New Roman" w:hAnsi="Times New Roman" w:eastAsia="Arial" w:cs="Times New Roman"/>
                <w:b w:val="0"/>
                <w:sz w:val="24"/>
                <w:szCs w:val="24"/>
              </w:rPr>
              <w:br w:type="textWrapping"/>
            </w:r>
            <w:r>
              <w:rPr>
                <w:rFonts w:ascii="Times New Roman" w:hAnsi="Times New Roman" w:eastAsia="Arial" w:cs="Times New Roman"/>
                <w:b w:val="0"/>
                <w:sz w:val="24"/>
                <w:szCs w:val="24"/>
              </w:rPr>
              <w:br w:type="textWrapping"/>
            </w:r>
            <w:r>
              <w:rPr>
                <w:rFonts w:ascii="Times New Roman" w:hAnsi="Times New Roman" w:eastAsia="Arial" w:cs="Times New Roman"/>
                <w:b w:val="0"/>
                <w:bCs w:val="0"/>
                <w:sz w:val="24"/>
                <w:szCs w:val="24"/>
              </w:rPr>
              <w:t>The system applies multimodal analysis by combining multiple sources of information, including transcripts, detected objects, scenes, and audio features. These are integrated into a unified embedding representation to improve the accuracy and contextual understanding of video retrieval.</w:t>
            </w:r>
          </w:p>
        </w:tc>
      </w:tr>
      <w:tr w14:paraId="7A9402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500" w:type="dxa"/>
            <w:vAlign w:val="center"/>
          </w:tcPr>
          <w:p w14:paraId="76EB50B4">
            <w:pPr>
              <w:spacing w:after="0" w:line="240" w:lineRule="auto"/>
              <w:rPr>
                <w:rFonts w:ascii="Times New Roman" w:hAnsi="Times New Roman" w:eastAsia="Times New Roman" w:cs="Times New Roman"/>
                <w:b/>
                <w:bCs/>
                <w:kern w:val="2"/>
                <w:sz w:val="24"/>
                <w:szCs w:val="24"/>
                <w:lang w:val="en-US"/>
              </w:rPr>
            </w:pPr>
            <w:r>
              <w:rPr>
                <w:rFonts w:ascii="Times New Roman" w:hAnsi="Times New Roman" w:eastAsia="Times New Roman" w:cs="Times New Roman"/>
                <w:b/>
                <w:bCs/>
                <w:kern w:val="2"/>
                <w:sz w:val="24"/>
                <w:szCs w:val="24"/>
                <w:lang w:val="en-US"/>
              </w:rPr>
              <w:t xml:space="preserve">Expected Output (Proposed Features and Functionality of the product) </w:t>
            </w:r>
          </w:p>
        </w:tc>
        <w:tc>
          <w:tcPr>
            <w:tcW w:w="5040" w:type="dxa"/>
            <w:vAlign w:val="center"/>
          </w:tcPr>
          <w:p w14:paraId="68DE965A">
            <w:pPr>
              <w:spacing w:before="40" w:after="40"/>
              <w:rPr>
                <w:rFonts w:ascii="Times New Roman" w:hAnsi="Times New Roman" w:eastAsia="Arial" w:cs="Times New Roman"/>
                <w:sz w:val="24"/>
                <w:szCs w:val="24"/>
              </w:rPr>
            </w:pPr>
            <w:r>
              <w:rPr>
                <w:rFonts w:ascii="Times New Roman" w:hAnsi="Times New Roman" w:eastAsia="Arial" w:cs="Times New Roman"/>
                <w:sz w:val="24"/>
                <w:szCs w:val="24"/>
              </w:rPr>
              <w:t>Unlike traditional keyword-based systems, the proposed system uses embedding-based retrieval, enabling it to understand context and meaning in both queries and video content.</w:t>
            </w:r>
          </w:p>
          <w:p w14:paraId="72E6F2B4">
            <w:pPr>
              <w:spacing w:before="40" w:after="40"/>
              <w:rPr>
                <w:rFonts w:ascii="Times New Roman" w:hAnsi="Times New Roman" w:eastAsia="Arial" w:cs="Times New Roman"/>
                <w:sz w:val="24"/>
                <w:szCs w:val="24"/>
              </w:rPr>
            </w:pPr>
          </w:p>
          <w:p w14:paraId="3C83EF38">
            <w:pPr>
              <w:spacing w:before="40" w:after="40"/>
              <w:rPr>
                <w:rFonts w:ascii="Times New Roman" w:hAnsi="Times New Roman" w:cs="Times New Roman"/>
                <w:sz w:val="24"/>
                <w:szCs w:val="24"/>
              </w:rPr>
            </w:pPr>
            <w:r>
              <w:rPr>
                <w:rFonts w:ascii="Times New Roman" w:hAnsi="Times New Roman" w:eastAsia="Arial" w:cs="Times New Roman"/>
                <w:sz w:val="24"/>
                <w:szCs w:val="24"/>
              </w:rPr>
              <w:t>The expected output of this study is the PSAUniFilms mobile application — a centralized digital archive and showcase platform for CAS-DEVCOM documentary films at Pampanga State Agricultural University. Aligned with the study’s objectives, the application is designed to establish appropriate access levels, support film viewing and submission, enable content moderation by DEVCOM officers, and provide a usable and accessible system for students, officers, and the general public.</w:t>
            </w:r>
          </w:p>
          <w:p w14:paraId="2C7D0B7D">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 xml:space="preserve">Feature 1: User Authentication and Access Control </w:t>
            </w:r>
          </w:p>
          <w:p w14:paraId="542E9393">
            <w:pPr>
              <w:pStyle w:val="2"/>
              <w:spacing w:before="320" w:after="100"/>
              <w:rPr>
                <w:rFonts w:ascii="Times New Roman" w:hAnsi="Times New Roman" w:eastAsia="Arial" w:cs="Times New Roman"/>
                <w:b w:val="0"/>
                <w:sz w:val="24"/>
                <w:szCs w:val="24"/>
              </w:rPr>
            </w:pPr>
            <w:r>
              <w:rPr>
                <w:rFonts w:ascii="Times New Roman" w:hAnsi="Times New Roman" w:eastAsia="Arial" w:cs="Times New Roman"/>
                <w:sz w:val="24"/>
                <w:szCs w:val="24"/>
              </w:rPr>
              <w:t>Role-Based User Access System:</w:t>
            </w:r>
            <w:r>
              <w:rPr>
                <w:rFonts w:ascii="Times New Roman" w:hAnsi="Times New Roman" w:eastAsia="Arial" w:cs="Times New Roman"/>
                <w:b w:val="0"/>
                <w:sz w:val="24"/>
                <w:szCs w:val="24"/>
              </w:rPr>
              <w:t xml:space="preserve"> In response to Objective 1, access is determined by roles, system functions, and institutional requirements to ensure controlled use. Users include Students (submission/browsing), DEVCOM Officers (moderation/management), and Faculty/Viewers (streaming/interaction).</w:t>
            </w:r>
          </w:p>
          <w:p w14:paraId="28E78E0F">
            <w:pPr>
              <w:pStyle w:val="2"/>
              <w:spacing w:before="320" w:after="100"/>
              <w:rPr>
                <w:rFonts w:ascii="Times New Roman" w:hAnsi="Times New Roman" w:eastAsia="Arial" w:cs="Times New Roman"/>
                <w:b w:val="0"/>
                <w:sz w:val="24"/>
                <w:szCs w:val="24"/>
              </w:rPr>
            </w:pPr>
            <w:r>
              <w:rPr>
                <w:rFonts w:ascii="Times New Roman" w:hAnsi="Times New Roman" w:eastAsia="Arial" w:cs="Times New Roman"/>
                <w:sz w:val="24"/>
                <w:szCs w:val="24"/>
              </w:rPr>
              <w:t>Feature 2: Film Browsing and Streaming</w:t>
            </w:r>
            <w:r>
              <w:rPr>
                <w:rFonts w:ascii="Times New Roman" w:hAnsi="Times New Roman" w:eastAsia="Arial" w:cs="Times New Roman"/>
                <w:b w:val="0"/>
                <w:sz w:val="24"/>
                <w:szCs w:val="24"/>
              </w:rPr>
              <w:tab/>
            </w:r>
          </w:p>
          <w:p w14:paraId="3EADD425">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Film Browsing, Search, and Filtering lets users discover approved films via mobile interface using traditional metadata (title, theme, director, year) plus semantic CBVR for content-meaning keywords (e.g., climate change, rural livelihood), visual/audio features, and contextual similarity.</w:t>
            </w:r>
          </w:p>
          <w:p w14:paraId="3810F327">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Feature 3: Film Submission and Metadata</w:t>
            </w:r>
          </w:p>
          <w:p w14:paraId="71F94F06">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System Film Submission and Metadata Management: Allows students to submit films with standardized details: Title, Year, Director, Synopsis, Contributors, and Thematic Category.</w:t>
            </w:r>
          </w:p>
          <w:p w14:paraId="045984A1">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Feature 4: Content Moderation Dashboard</w:t>
            </w:r>
          </w:p>
          <w:p w14:paraId="7941DA3E">
            <w:pPr>
              <w:pStyle w:val="2"/>
              <w:spacing w:before="320" w:after="100"/>
              <w:rPr>
                <w:rFonts w:ascii="Times New Roman" w:hAnsi="Times New Roman" w:eastAsia="Arial" w:cs="Times New Roman"/>
                <w:b w:val="0"/>
                <w:sz w:val="24"/>
                <w:szCs w:val="24"/>
              </w:rPr>
            </w:pPr>
            <w:r>
              <w:rPr>
                <w:rFonts w:ascii="Times New Roman" w:hAnsi="Times New Roman" w:eastAsia="Arial" w:cs="Times New Roman"/>
                <w:sz w:val="24"/>
                <w:szCs w:val="24"/>
              </w:rPr>
              <w:t>Content Management and Moderation</w:t>
            </w:r>
            <w:r>
              <w:rPr>
                <w:rFonts w:ascii="Times New Roman" w:hAnsi="Times New Roman" w:eastAsia="Arial" w:cs="Times New Roman"/>
                <w:b w:val="0"/>
                <w:sz w:val="24"/>
                <w:szCs w:val="24"/>
              </w:rPr>
              <w:t xml:space="preserve"> Dashboard: A dedicated interface for DEVCOM officers to review, approve, organize, and manage films before publication.</w:t>
            </w:r>
          </w:p>
          <w:p w14:paraId="6E5E80D8">
            <w:pPr>
              <w:pStyle w:val="2"/>
              <w:spacing w:before="320" w:after="100"/>
              <w:rPr>
                <w:rFonts w:ascii="Times New Roman" w:hAnsi="Times New Roman" w:eastAsia="Arial" w:cs="Times New Roman"/>
                <w:b w:val="0"/>
                <w:sz w:val="24"/>
                <w:szCs w:val="24"/>
              </w:rPr>
            </w:pPr>
            <w:r>
              <w:rPr>
                <w:rFonts w:ascii="Times New Roman" w:hAnsi="Times New Roman" w:eastAsia="Arial" w:cs="Times New Roman"/>
                <w:sz w:val="24"/>
                <w:szCs w:val="24"/>
              </w:rPr>
              <w:t>Feature 5: Download, Offline Viewing, and Content Security</w:t>
            </w:r>
          </w:p>
          <w:p w14:paraId="3A81D648">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In response to Objective 5, the application integrates content protection features to help safeguard student-produced documentary films from unauthorized redistribution. Users may download selected documentaries for offline viewing within the PSAUniFilms application. The following core security controls are applied:</w:t>
            </w:r>
          </w:p>
          <w:p w14:paraId="22064CB8">
            <w:pPr>
              <w:pStyle w:val="2"/>
              <w:numPr>
                <w:ilvl w:val="0"/>
                <w:numId w:val="6"/>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Downloaded videos are stored in the application’s private internal storage and are not accessible through file managers or transferable to other applications.</w:t>
            </w:r>
          </w:p>
          <w:p w14:paraId="66B9EA09">
            <w:pPr>
              <w:pStyle w:val="2"/>
              <w:numPr>
                <w:ilvl w:val="0"/>
                <w:numId w:val="6"/>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 xml:space="preserve">On Android, FLAG_SECURE is applied to prevent screenshots and screen recording during playback. </w:t>
            </w:r>
          </w:p>
          <w:p w14:paraId="05544825">
            <w:pPr>
              <w:pStyle w:val="2"/>
              <w:numPr>
                <w:ilvl w:val="0"/>
                <w:numId w:val="6"/>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All users must agree to a user agreement upon registration prohibiting redistribution or reposting of any content.</w:t>
            </w:r>
          </w:p>
          <w:p w14:paraId="5710D3D6"/>
          <w:p w14:paraId="77CF0578">
            <w:pPr>
              <w:rPr>
                <w:rFonts w:ascii="Times New Roman" w:hAnsi="Times New Roman" w:cs="Times New Roman"/>
                <w:b/>
                <w:bCs/>
                <w:sz w:val="24"/>
                <w:szCs w:val="24"/>
                <w:lang w:val="en-US"/>
              </w:rPr>
            </w:pPr>
            <w:r>
              <w:rPr>
                <w:rFonts w:ascii="Times New Roman" w:hAnsi="Times New Roman" w:cs="Times New Roman"/>
                <w:b/>
                <w:bCs/>
                <w:sz w:val="24"/>
                <w:szCs w:val="24"/>
              </w:rPr>
              <w:t xml:space="preserve">Feature 6: </w:t>
            </w:r>
            <w:r>
              <w:rPr>
                <w:rFonts w:ascii="Times New Roman" w:hAnsi="Times New Roman" w:cs="Times New Roman"/>
                <w:b/>
                <w:bCs/>
                <w:sz w:val="24"/>
                <w:szCs w:val="24"/>
                <w:lang w:val="en-US"/>
              </w:rPr>
              <w:t>Semantic Search Bar</w:t>
            </w:r>
          </w:p>
          <w:p w14:paraId="5CF6B168">
            <w:r>
              <w:rPr>
                <w:rFonts w:ascii="Times New Roman" w:hAnsi="Times New Roman" w:cs="Times New Roman"/>
                <w:sz w:val="24"/>
                <w:szCs w:val="24"/>
                <w:lang w:val="en-US"/>
              </w:rPr>
              <w:t>Allows users to perform semantic search using natural language queries. The system interprets user intent by converting queries into embeddings and retrieving videos based on similarity with stored video embeddings. Search results are generated using transcript content, detected scenes, objects, and overall thematic meaning.</w:t>
            </w:r>
          </w:p>
          <w:p w14:paraId="0D606400">
            <w:pPr>
              <w:pStyle w:val="2"/>
              <w:spacing w:before="320" w:after="100"/>
              <w:rPr>
                <w:rFonts w:ascii="Times New Roman" w:hAnsi="Times New Roman" w:eastAsia="Arial" w:cs="Times New Roman"/>
                <w:sz w:val="24"/>
                <w:szCs w:val="24"/>
              </w:rPr>
            </w:pPr>
            <w:r>
              <w:rPr>
                <w:rFonts w:ascii="Times New Roman" w:hAnsi="Times New Roman" w:eastAsia="Arial" w:cs="Times New Roman"/>
                <w:sz w:val="24"/>
                <w:szCs w:val="24"/>
              </w:rPr>
              <w:t xml:space="preserve">Future Enhancements </w:t>
            </w:r>
          </w:p>
          <w:p w14:paraId="45E8FC16">
            <w:pPr>
              <w:pStyle w:val="2"/>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The following features are identified as planned improvements to be developed after the core system is deployed and evaluated. They are clearly outside the scope of this capstone’s minimum viable product:</w:t>
            </w:r>
          </w:p>
          <w:p w14:paraId="161BB8A7">
            <w:pPr>
              <w:pStyle w:val="2"/>
              <w:numPr>
                <w:ilvl w:val="0"/>
                <w:numId w:val="7"/>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Watchlist feature — allowing users to save films for later viewing.</w:t>
            </w:r>
          </w:p>
          <w:p w14:paraId="40879E48">
            <w:pPr>
              <w:pStyle w:val="2"/>
              <w:numPr>
                <w:ilvl w:val="0"/>
                <w:numId w:val="7"/>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Push notification system — alerting officers and users when content is submitted or approved.</w:t>
            </w:r>
          </w:p>
          <w:p w14:paraId="2DD0122A">
            <w:pPr>
              <w:pStyle w:val="2"/>
              <w:numPr>
                <w:ilvl w:val="0"/>
                <w:numId w:val="7"/>
              </w:numPr>
              <w:spacing w:before="320" w:after="100"/>
              <w:rPr>
                <w:rFonts w:ascii="Times New Roman" w:hAnsi="Times New Roman" w:eastAsia="Arial" w:cs="Times New Roman"/>
                <w:b w:val="0"/>
                <w:sz w:val="24"/>
                <w:szCs w:val="24"/>
              </w:rPr>
            </w:pPr>
            <w:r>
              <w:rPr>
                <w:rFonts w:ascii="Times New Roman" w:hAnsi="Times New Roman" w:eastAsia="Arial" w:cs="Times New Roman"/>
                <w:b w:val="0"/>
                <w:sz w:val="24"/>
                <w:szCs w:val="24"/>
              </w:rPr>
              <w:t>Rating and feedback system — enabling users to evaluate content quality.</w:t>
            </w:r>
          </w:p>
          <w:p w14:paraId="6C28F6E1">
            <w:pPr>
              <w:pStyle w:val="2"/>
              <w:numPr>
                <w:ilvl w:val="0"/>
                <w:numId w:val="8"/>
              </w:numPr>
              <w:spacing w:before="320" w:after="100"/>
              <w:rPr>
                <w:rFonts w:ascii="Times New Roman" w:hAnsi="Times New Roman" w:eastAsia="Arial" w:cs="Times New Roman"/>
                <w:sz w:val="24"/>
                <w:szCs w:val="24"/>
              </w:rPr>
            </w:pPr>
            <w:r>
              <w:rPr>
                <w:rFonts w:ascii="Times New Roman" w:hAnsi="Times New Roman" w:eastAsia="Arial" w:cs="Times New Roman"/>
                <w:b w:val="0"/>
                <w:sz w:val="24"/>
                <w:szCs w:val="24"/>
              </w:rPr>
              <w:t>Featured sections such as ‘Newly Uploaded’ and ‘Award-Winning Films.’</w:t>
            </w:r>
          </w:p>
        </w:tc>
      </w:tr>
      <w:tr w14:paraId="7DABD1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2" w:hRule="atLeast"/>
        </w:trPr>
        <w:tc>
          <w:tcPr>
            <w:tcW w:w="4500" w:type="dxa"/>
            <w:vAlign w:val="center"/>
          </w:tcPr>
          <w:p w14:paraId="1B435118">
            <w:pPr>
              <w:spacing w:after="0" w:line="240" w:lineRule="auto"/>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 xml:space="preserve"> Sustainability plan</w:t>
            </w:r>
          </w:p>
          <w:p w14:paraId="008ACD94">
            <w:pPr>
              <w:spacing w:after="0" w:line="240" w:lineRule="auto"/>
              <w:rPr>
                <w:rFonts w:ascii="Times New Roman" w:hAnsi="Times New Roman" w:eastAsia="Times New Roman" w:cs="Times New Roman"/>
                <w:b/>
                <w:bCs/>
                <w:kern w:val="2"/>
                <w:sz w:val="24"/>
                <w:szCs w:val="24"/>
              </w:rPr>
            </w:pPr>
          </w:p>
        </w:tc>
        <w:tc>
          <w:tcPr>
            <w:tcW w:w="5040" w:type="dxa"/>
            <w:vAlign w:val="center"/>
          </w:tcPr>
          <w:p w14:paraId="67FD61A8">
            <w:pPr>
              <w:rPr>
                <w:rFonts w:ascii="Times New Roman" w:hAnsi="Times New Roman" w:eastAsia="Times New Roman" w:cs="Times New Roman"/>
                <w:color w:val="000000" w:themeColor="text1"/>
                <w:kern w:val="2"/>
                <w:sz w:val="24"/>
                <w:szCs w:val="24"/>
                <w:lang w:val="en-US"/>
                <w14:textFill>
                  <w14:solidFill>
                    <w14:schemeClr w14:val="tx1"/>
                  </w14:solidFill>
                </w14:textFill>
              </w:rPr>
            </w:pPr>
            <w:r>
              <w:rPr>
                <w:rFonts w:ascii="Times New Roman" w:hAnsi="Times New Roman" w:eastAsia="Times New Roman" w:cs="Times New Roman"/>
                <w:color w:val="000000" w:themeColor="text1"/>
                <w:kern w:val="2"/>
                <w:sz w:val="24"/>
                <w:szCs w:val="24"/>
                <w:lang w:val="en-US"/>
                <w14:textFill>
                  <w14:solidFill>
                    <w14:schemeClr w14:val="tx1"/>
                  </w14:solidFill>
                </w14:textFill>
              </w:rPr>
              <w:t>The PSAUniFilms mobile application is designed for long-term use and continuous improvement following its handover to CAS-DEVCOM. Its sustainability rests on three core concerns: who will maintain the system, who will manage user accounts and officer roles, and how hosting and platform costs will be handled over time.</w:t>
            </w:r>
          </w:p>
          <w:p w14:paraId="7E986164">
            <w:pPr>
              <w:rPr>
                <w:rFonts w:ascii="Times New Roman" w:hAnsi="Times New Roman" w:eastAsia="Times New Roman" w:cs="Times New Roman"/>
                <w:b/>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
                <w:bCs/>
                <w:color w:val="000000" w:themeColor="text1"/>
                <w:kern w:val="2"/>
                <w:sz w:val="24"/>
                <w:szCs w:val="24"/>
                <w:lang w:val="en-US"/>
                <w14:textFill>
                  <w14:solidFill>
                    <w14:schemeClr w14:val="tx1"/>
                  </w14:solidFill>
                </w14:textFill>
              </w:rPr>
              <w:t>System Maintenance After Turnover</w:t>
            </w:r>
            <w:r>
              <w:rPr>
                <w:rFonts w:ascii="Times New Roman" w:hAnsi="Times New Roman" w:eastAsia="Times New Roman" w:cs="Times New Roman"/>
                <w:b/>
                <w:bCs/>
                <w:color w:val="000000" w:themeColor="text1"/>
                <w:kern w:val="2"/>
                <w:sz w:val="24"/>
                <w:szCs w:val="24"/>
                <w:lang w:val="en-US"/>
                <w14:textFill>
                  <w14:solidFill>
                    <w14:schemeClr w14:val="tx1"/>
                  </w14:solidFill>
                </w14:textFill>
              </w:rPr>
              <w:tab/>
            </w:r>
          </w:p>
          <w:p w14:paraId="6CD24C66">
            <w:pPr>
              <w:rPr>
                <w:rFonts w:ascii="Times New Roman" w:hAnsi="Times New Roman" w:eastAsia="Times New Roman" w:cs="Times New Roman"/>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Cs/>
                <w:color w:val="000000" w:themeColor="text1"/>
                <w:kern w:val="2"/>
                <w:sz w:val="24"/>
                <w:szCs w:val="24"/>
                <w:lang w:val="en-US"/>
                <w14:textFill>
                  <w14:solidFill>
                    <w14:schemeClr w14:val="tx1"/>
                  </w14:solidFill>
                </w14:textFill>
              </w:rPr>
              <w:t>Upon completion of the capstone project, the fully documented system — including source code, database schema, AI/API configurations, and a digital user manual — will be formally turned over to the CAS-DEVCOM department. The turnover will be accompanied by a signed receipt and documentation package as required under Objective 5.</w:t>
            </w:r>
          </w:p>
          <w:p w14:paraId="7959B33E">
            <w:pPr>
              <w:rPr>
                <w:rFonts w:ascii="Times New Roman" w:hAnsi="Times New Roman" w:eastAsia="Times New Roman" w:cs="Times New Roman"/>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Cs/>
                <w:color w:val="000000" w:themeColor="text1"/>
                <w:kern w:val="2"/>
                <w:sz w:val="24"/>
                <w:szCs w:val="24"/>
                <w:lang w:val="en-US"/>
                <w14:textFill>
                  <w14:solidFill>
                    <w14:schemeClr w14:val="tx1"/>
                  </w14:solidFill>
                </w14:textFill>
              </w:rPr>
              <w:t>Routine maintenance responsibilities — such as updating the application for new mobile OS versions, monitoring Firebase service quotas, renewing API keys, and verifying the accuracy of the semantic indexing pipeline — are expected to be assigned to a designated IT support staff member within PSAU or a succeeding BSIT capstone group identified by the Department of Computer Studies. The proponents will provide a comprehensive maintenance guide, including instructions for managing the Vertex AI and Video Intelligence components, as part of the final documentation to support the transition.</w:t>
            </w:r>
          </w:p>
          <w:p w14:paraId="24855FFD">
            <w:pPr>
              <w:rPr>
                <w:rFonts w:ascii="Times New Roman" w:hAnsi="Times New Roman" w:eastAsia="Times New Roman" w:cs="Times New Roman"/>
                <w:b/>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
                <w:bCs/>
                <w:color w:val="000000" w:themeColor="text1"/>
                <w:kern w:val="2"/>
                <w:sz w:val="24"/>
                <w:szCs w:val="24"/>
                <w:lang w:val="en-US"/>
                <w14:textFill>
                  <w14:solidFill>
                    <w14:schemeClr w14:val="tx1"/>
                  </w14:solidFill>
                </w14:textFill>
              </w:rPr>
              <w:t xml:space="preserve">Officer Account Management </w:t>
            </w:r>
          </w:p>
          <w:p w14:paraId="2BC0410E">
            <w:pPr>
              <w:rPr>
                <w:rFonts w:ascii="Times New Roman" w:hAnsi="Times New Roman" w:eastAsia="Times New Roman" w:cs="Times New Roman"/>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Cs/>
                <w:color w:val="000000" w:themeColor="text1"/>
                <w:kern w:val="2"/>
                <w:sz w:val="24"/>
                <w:szCs w:val="24"/>
                <w:lang w:val="en-US"/>
                <w14:textFill>
                  <w14:solidFill>
                    <w14:schemeClr w14:val="tx1"/>
                  </w14:solidFill>
                </w14:textFill>
              </w:rPr>
              <w:t>The DEVCOM Department Chairperson or a designated officer will manage the Firebase Console. They will be responsible for creating/deactivating student accounts and assigning officer permissions annually.</w:t>
            </w:r>
          </w:p>
          <w:p w14:paraId="2A55FB8A">
            <w:pPr>
              <w:rPr>
                <w:rFonts w:ascii="Times New Roman" w:hAnsi="Times New Roman" w:eastAsia="Times New Roman" w:cs="Times New Roman"/>
                <w:b/>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
                <w:bCs/>
                <w:color w:val="000000" w:themeColor="text1"/>
                <w:kern w:val="2"/>
                <w:sz w:val="24"/>
                <w:szCs w:val="24"/>
                <w:lang w:val="en-US"/>
                <w14:textFill>
                  <w14:solidFill>
                    <w14:schemeClr w14:val="tx1"/>
                  </w14:solidFill>
                </w14:textFill>
              </w:rPr>
              <w:t>Long-Term Hosting and Platform Costs</w:t>
            </w:r>
          </w:p>
          <w:p w14:paraId="3F9FB3D3">
            <w:pPr>
              <w:rPr>
                <w:rFonts w:ascii="Times New Roman" w:hAnsi="Times New Roman" w:eastAsia="Times New Roman" w:cs="Times New Roman"/>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Cs/>
                <w:color w:val="000000" w:themeColor="text1"/>
                <w:kern w:val="2"/>
                <w:sz w:val="24"/>
                <w:szCs w:val="24"/>
                <w:lang w:val="en-US"/>
                <w14:textFill>
                  <w14:solidFill>
                    <w14:schemeClr w14:val="tx1"/>
                  </w14:solidFill>
                </w14:textFill>
              </w:rPr>
              <w:t xml:space="preserve">Video content is hosted via the </w:t>
            </w:r>
            <w:r>
              <w:rPr>
                <w:rFonts w:ascii="Times New Roman" w:hAnsi="Times New Roman" w:eastAsia="Times New Roman" w:cs="Times New Roman"/>
                <w:color w:val="000000" w:themeColor="text1"/>
                <w:kern w:val="2"/>
                <w:sz w:val="24"/>
                <w:szCs w:val="24"/>
                <w:lang w:val="en-US"/>
                <w14:textFill>
                  <w14:solidFill>
                    <w14:schemeClr w14:val="tx1"/>
                  </w14:solidFill>
                </w14:textFill>
              </w:rPr>
              <w:t>YouTube Data API v3 on a dedicated institutional channel at no cost. Metadata and user authentication utilize Google Firebase’s free-tier Spark Plan. The Google Video Intelligence and Vertex AI</w:t>
            </w:r>
            <w:r>
              <w:rPr>
                <w:rFonts w:ascii="Times New Roman" w:hAnsi="Times New Roman" w:eastAsia="Times New Roman" w:cs="Times New Roman"/>
                <w:bCs/>
                <w:color w:val="000000" w:themeColor="text1"/>
                <w:kern w:val="2"/>
                <w:sz w:val="24"/>
                <w:szCs w:val="24"/>
                <w:lang w:val="en-US"/>
                <w14:textFill>
                  <w14:solidFill>
                    <w14:schemeClr w14:val="tx1"/>
                  </w14:solidFill>
                </w14:textFill>
              </w:rPr>
              <w:t xml:space="preserve"> semantic processing operate on a pay-as-you-go basis; for the current volume, these are covered by initial free credits. As the archive expands, processing should be budgeted as a one-time technical expense per upload rather than a recurring hosting fee.</w:t>
            </w:r>
          </w:p>
          <w:p w14:paraId="6CC2858F">
            <w:pPr>
              <w:rPr>
                <w:rFonts w:ascii="Times New Roman" w:hAnsi="Times New Roman" w:eastAsia="Times New Roman" w:cs="Times New Roman"/>
                <w:b/>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
                <w:bCs/>
                <w:color w:val="000000" w:themeColor="text1"/>
                <w:kern w:val="2"/>
                <w:sz w:val="24"/>
                <w:szCs w:val="24"/>
                <w:lang w:val="en-US"/>
                <w14:textFill>
                  <w14:solidFill>
                    <w14:schemeClr w14:val="tx1"/>
                  </w14:solidFill>
                </w14:textFill>
              </w:rPr>
              <w:t>Contingency Measures</w:t>
            </w:r>
          </w:p>
          <w:p w14:paraId="7D8AABF7">
            <w:pPr>
              <w:numPr>
                <w:ilvl w:val="0"/>
                <w:numId w:val="9"/>
              </w:numPr>
              <w:rPr>
                <w:rFonts w:ascii="Times New Roman" w:hAnsi="Times New Roman" w:eastAsia="Times New Roman" w:cs="Times New Roman"/>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
                <w:bCs/>
                <w:color w:val="000000" w:themeColor="text1"/>
                <w:kern w:val="2"/>
                <w:sz w:val="24"/>
                <w:szCs w:val="24"/>
                <w:lang w:val="en-US"/>
                <w14:textFill>
                  <w14:solidFill>
                    <w14:schemeClr w14:val="tx1"/>
                  </w14:solidFill>
                </w14:textFill>
              </w:rPr>
              <w:t>Storage Portability:</w:t>
            </w:r>
            <w:r>
              <w:rPr>
                <w:rFonts w:ascii="Times New Roman" w:hAnsi="Times New Roman" w:eastAsia="Times New Roman" w:cs="Times New Roman"/>
                <w:bCs/>
                <w:color w:val="000000" w:themeColor="text1"/>
                <w:kern w:val="2"/>
                <w:sz w:val="24"/>
                <w:szCs w:val="24"/>
                <w:lang w:val="en-US"/>
                <w14:textFill>
                  <w14:solidFill>
                    <w14:schemeClr w14:val="tx1"/>
                  </w14:solidFill>
                </w14:textFill>
              </w:rPr>
              <w:t xml:space="preserve"> Video references in Firestore can be updated to point to alternative services (e.g., Vimeo) without a full app rebuild.</w:t>
            </w:r>
          </w:p>
          <w:p w14:paraId="4BF42E06">
            <w:pPr>
              <w:numPr>
                <w:ilvl w:val="0"/>
                <w:numId w:val="9"/>
              </w:numPr>
              <w:rPr>
                <w:rFonts w:ascii="Times New Roman" w:hAnsi="Times New Roman" w:eastAsia="Times New Roman" w:cs="Times New Roman"/>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
                <w:bCs/>
                <w:color w:val="000000" w:themeColor="text1"/>
                <w:kern w:val="2"/>
                <w:sz w:val="24"/>
                <w:szCs w:val="24"/>
                <w:lang w:val="en-US"/>
                <w14:textFill>
                  <w14:solidFill>
                    <w14:schemeClr w14:val="tx1"/>
                  </w14:solidFill>
                </w14:textFill>
              </w:rPr>
              <w:t>AI Flexibility:</w:t>
            </w:r>
            <w:r>
              <w:rPr>
                <w:rFonts w:ascii="Times New Roman" w:hAnsi="Times New Roman" w:eastAsia="Times New Roman" w:cs="Times New Roman"/>
                <w:bCs/>
                <w:color w:val="000000" w:themeColor="text1"/>
                <w:kern w:val="2"/>
                <w:sz w:val="24"/>
                <w:szCs w:val="24"/>
                <w:lang w:val="en-US"/>
                <w14:textFill>
                  <w14:solidFill>
                    <w14:schemeClr w14:val="tx1"/>
                  </w14:solidFill>
                </w14:textFill>
              </w:rPr>
              <w:t xml:space="preserve"> The system is model-agnostic; metadata can be populated by alternative AI models (e.g., OpenAI’s Whisper) if institutional needs change.</w:t>
            </w:r>
          </w:p>
          <w:p w14:paraId="7196696E">
            <w:pPr>
              <w:numPr>
                <w:ilvl w:val="0"/>
                <w:numId w:val="9"/>
              </w:numPr>
              <w:rPr>
                <w:rFonts w:ascii="Times New Roman" w:hAnsi="Times New Roman" w:eastAsia="Times New Roman" w:cs="Times New Roman"/>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
                <w:bCs/>
                <w:color w:val="000000" w:themeColor="text1"/>
                <w:kern w:val="2"/>
                <w:sz w:val="24"/>
                <w:szCs w:val="24"/>
                <w:lang w:val="en-US"/>
                <w14:textFill>
                  <w14:solidFill>
                    <w14:schemeClr w14:val="tx1"/>
                  </w14:solidFill>
                </w14:textFill>
              </w:rPr>
              <w:t>Data Security:</w:t>
            </w:r>
            <w:r>
              <w:rPr>
                <w:rFonts w:ascii="Times New Roman" w:hAnsi="Times New Roman" w:eastAsia="Times New Roman" w:cs="Times New Roman"/>
                <w:bCs/>
                <w:color w:val="000000" w:themeColor="text1"/>
                <w:kern w:val="2"/>
                <w:sz w:val="24"/>
                <w:szCs w:val="24"/>
                <w:lang w:val="en-US"/>
                <w14:textFill>
                  <w14:solidFill>
                    <w14:schemeClr w14:val="tx1"/>
                  </w14:solidFill>
                </w14:textFill>
              </w:rPr>
              <w:t xml:space="preserve"> Firebase export tools allow for full backups of the semantic database and user logs for easy migration.</w:t>
            </w:r>
          </w:p>
          <w:p w14:paraId="630D5DB5">
            <w:r>
              <w:rPr>
                <w:rFonts w:ascii="Times New Roman" w:hAnsi="Times New Roman" w:eastAsia="Times New Roman" w:cs="Times New Roman"/>
                <w:b/>
                <w:bCs/>
                <w:color w:val="000000" w:themeColor="text1"/>
                <w:kern w:val="2"/>
                <w:sz w:val="24"/>
                <w:szCs w:val="24"/>
                <w:lang w:val="en-US"/>
                <w14:textFill>
                  <w14:solidFill>
                    <w14:schemeClr w14:val="tx1"/>
                  </w14:solidFill>
                </w14:textFill>
              </w:rPr>
              <w:t>Continuous Evaluation and Improvement</w:t>
            </w:r>
            <w:r>
              <w:rPr>
                <w:rFonts w:ascii="Times New Roman" w:hAnsi="Times New Roman" w:eastAsia="Times New Roman" w:cs="Times New Roman"/>
                <w:bCs/>
                <w:color w:val="000000" w:themeColor="text1"/>
                <w:kern w:val="2"/>
                <w:sz w:val="24"/>
                <w:szCs w:val="24"/>
                <w:lang w:val="en-US"/>
                <w14:textFill>
                  <w14:solidFill>
                    <w14:schemeClr w14:val="tx1"/>
                  </w14:solidFill>
                </w14:textFill>
              </w:rPr>
              <w:t xml:space="preserve"> </w:t>
            </w:r>
            <w:r>
              <w:t xml:space="preserve"> </w:t>
            </w:r>
          </w:p>
          <w:p w14:paraId="7BA0AAD1">
            <w:pPr>
              <w:rPr>
                <w:rFonts w:ascii="Times New Roman" w:hAnsi="Times New Roman" w:eastAsia="Times New Roman" w:cs="Times New Roman"/>
                <w:bCs/>
                <w:color w:val="000000" w:themeColor="text1"/>
                <w:kern w:val="2"/>
                <w:sz w:val="24"/>
                <w:szCs w:val="24"/>
                <w:lang w:val="en-US"/>
                <w14:textFill>
                  <w14:solidFill>
                    <w14:schemeClr w14:val="tx1"/>
                  </w14:solidFill>
                </w14:textFill>
              </w:rPr>
            </w:pPr>
            <w:r>
              <w:rPr>
                <w:rFonts w:ascii="Times New Roman" w:hAnsi="Times New Roman" w:eastAsia="Times New Roman" w:cs="Times New Roman"/>
                <w:bCs/>
                <w:color w:val="000000" w:themeColor="text1"/>
                <w:kern w:val="2"/>
                <w:sz w:val="24"/>
                <w:szCs w:val="24"/>
                <w:lang w:val="en-US"/>
                <w14:textFill>
                  <w14:solidFill>
                    <w14:schemeClr w14:val="tx1"/>
                  </w14:solidFill>
                </w14:textFill>
              </w:rPr>
              <w:t>The system requires ongoing Semantic Validation. CAS-DEVCOM officers should periodically review AI-generated transcripts and summaries to ensure the Content-Based Video Retrieval (CBVR) effectively bridges the "semantic gap." The architecture supports future enhancements, such as relevance feedback and watchlists, without disrupting the live archive.</w:t>
            </w:r>
          </w:p>
          <w:p w14:paraId="709ACCB3">
            <w:pPr>
              <w:rPr>
                <w:rFonts w:ascii="Times New Roman" w:hAnsi="Times New Roman" w:eastAsia="Times New Roman" w:cs="Times New Roman"/>
                <w:color w:val="000000" w:themeColor="text1"/>
                <w:kern w:val="2"/>
                <w:sz w:val="24"/>
                <w:szCs w:val="24"/>
                <w:lang w:val="en-US"/>
                <w14:textFill>
                  <w14:solidFill>
                    <w14:schemeClr w14:val="tx1"/>
                  </w14:solidFill>
                </w14:textFill>
              </w:rPr>
            </w:pPr>
            <w:r>
              <w:rPr>
                <w:rFonts w:ascii="Times New Roman" w:hAnsi="Times New Roman" w:eastAsia="Times New Roman" w:cs="Times New Roman"/>
                <w:b/>
                <w:color w:val="000000" w:themeColor="text1"/>
                <w:kern w:val="2"/>
                <w:sz w:val="24"/>
                <w:szCs w:val="24"/>
                <w:lang w:val="en-US"/>
                <w14:textFill>
                  <w14:solidFill>
                    <w14:schemeClr w14:val="tx1"/>
                  </w14:solidFill>
                </w14:textFill>
              </w:rPr>
              <w:t>Recommendation:</w:t>
            </w:r>
            <w:r>
              <w:rPr>
                <w:rFonts w:ascii="Times New Roman" w:hAnsi="Times New Roman" w:eastAsia="Times New Roman" w:cs="Times New Roman"/>
                <w:bCs/>
                <w:color w:val="000000" w:themeColor="text1"/>
                <w:kern w:val="2"/>
                <w:sz w:val="24"/>
                <w:szCs w:val="24"/>
                <w:lang w:val="en-US"/>
                <w14:textFill>
                  <w14:solidFill>
                    <w14:schemeClr w14:val="tx1"/>
                  </w14:solidFill>
                </w14:textFill>
              </w:rPr>
              <w:t xml:space="preserve"> PSAU IT administration should allocate a minimal annual budget for processing credits and perform an annual audit of platform usage and semantic accuracy.</w:t>
            </w:r>
          </w:p>
        </w:tc>
      </w:tr>
      <w:tr w14:paraId="707E7A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3" w:hRule="atLeast"/>
        </w:trPr>
        <w:tc>
          <w:tcPr>
            <w:tcW w:w="4500" w:type="dxa"/>
            <w:vAlign w:val="center"/>
          </w:tcPr>
          <w:p w14:paraId="439EAEE0">
            <w:pPr>
              <w:spacing w:after="0" w:line="240" w:lineRule="auto"/>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 xml:space="preserve"> Project Workplan</w:t>
            </w:r>
          </w:p>
        </w:tc>
        <w:tc>
          <w:tcPr>
            <w:tcW w:w="5040" w:type="dxa"/>
            <w:vAlign w:val="center"/>
          </w:tcPr>
          <w:p w14:paraId="39A7AC01">
            <w:pPr>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Please see attached form.</w:t>
            </w:r>
          </w:p>
        </w:tc>
      </w:tr>
      <w:tr w14:paraId="3D6D3D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trPr>
        <w:tc>
          <w:tcPr>
            <w:tcW w:w="4500" w:type="dxa"/>
            <w:vAlign w:val="center"/>
          </w:tcPr>
          <w:p w14:paraId="3F1C4C50">
            <w:pPr>
              <w:spacing w:after="0" w:line="240" w:lineRule="auto"/>
              <w:rPr>
                <w:rFonts w:ascii="Times New Roman" w:hAnsi="Times New Roman" w:eastAsia="Times New Roman" w:cs="Times New Roman"/>
                <w:b/>
                <w:bCs/>
                <w:kern w:val="2"/>
                <w:sz w:val="24"/>
                <w:szCs w:val="24"/>
              </w:rPr>
            </w:pPr>
            <w:r>
              <w:rPr>
                <w:rFonts w:ascii="Times New Roman" w:hAnsi="Times New Roman" w:eastAsia="Times New Roman" w:cs="Times New Roman"/>
                <w:b/>
                <w:bCs/>
                <w:kern w:val="2"/>
                <w:sz w:val="24"/>
                <w:szCs w:val="24"/>
              </w:rPr>
              <w:t xml:space="preserve"> References</w:t>
            </w:r>
          </w:p>
        </w:tc>
        <w:tc>
          <w:tcPr>
            <w:tcW w:w="5040" w:type="dxa"/>
            <w:vAlign w:val="center"/>
          </w:tcPr>
          <w:p w14:paraId="31A89AE7">
            <w:pPr>
              <w:spacing w:after="160" w:line="278" w:lineRule="auto"/>
              <w:rPr>
                <w:rFonts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eastAsia="Times New Roman" w:cs="Times New Roman"/>
                <w:sz w:val="24"/>
                <w:szCs w:val="24"/>
                <w:lang w:val="en-US" w:eastAsia="en-US"/>
              </w:rPr>
              <w:t xml:space="preserve"> </w:t>
            </w:r>
            <w:r>
              <w:rPr>
                <w:rFonts w:ascii="Times New Roman" w:hAnsi="Times New Roman" w:cs="Times New Roman"/>
                <w:sz w:val="24"/>
                <w:szCs w:val="24"/>
                <w:lang w:val="en-US"/>
              </w:rPr>
              <w:t xml:space="preserve">Ahmed, S., &amp; Khoo, M. (2020). Mobile apps for digital archiving: Accessibility and engagement in the 21st century. </w:t>
            </w:r>
            <w:r>
              <w:rPr>
                <w:rFonts w:ascii="Times New Roman" w:hAnsi="Times New Roman" w:cs="Times New Roman"/>
                <w:i/>
                <w:iCs/>
                <w:sz w:val="24"/>
                <w:szCs w:val="24"/>
                <w:lang w:val="en-US"/>
              </w:rPr>
              <w:t>Journal of Digital Media Management, 8</w:t>
            </w:r>
            <w:r>
              <w:rPr>
                <w:rFonts w:ascii="Times New Roman" w:hAnsi="Times New Roman" w:cs="Times New Roman"/>
                <w:sz w:val="24"/>
                <w:szCs w:val="24"/>
                <w:lang w:val="en-US"/>
              </w:rPr>
              <w:t>(3), 214–229.</w:t>
            </w:r>
          </w:p>
          <w:p w14:paraId="2C4B6351">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Alampay, E. A. (2020). </w:t>
            </w:r>
            <w:r>
              <w:rPr>
                <w:rFonts w:ascii="Times New Roman" w:hAnsi="Times New Roman" w:cs="Times New Roman"/>
                <w:i/>
                <w:iCs/>
                <w:sz w:val="24"/>
                <w:szCs w:val="24"/>
                <w:lang w:val="en-US"/>
              </w:rPr>
              <w:t>Thematic organization in development communication: Patterns of issue-based exploration</w:t>
            </w:r>
            <w:r>
              <w:rPr>
                <w:rFonts w:ascii="Times New Roman" w:hAnsi="Times New Roman" w:cs="Times New Roman"/>
                <w:sz w:val="24"/>
                <w:szCs w:val="24"/>
                <w:lang w:val="en-US"/>
              </w:rPr>
              <w:t>. University of the Philippines Press.</w:t>
            </w:r>
          </w:p>
          <w:p w14:paraId="632DD445">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Baker, T. (2022). Subject classification and user satisfaction in global digital libraries. </w:t>
            </w:r>
            <w:r>
              <w:rPr>
                <w:rFonts w:ascii="Times New Roman" w:hAnsi="Times New Roman" w:cs="Times New Roman"/>
                <w:i/>
                <w:iCs/>
                <w:sz w:val="24"/>
                <w:szCs w:val="24"/>
                <w:lang w:val="en-US"/>
              </w:rPr>
              <w:t>Information Technology and Libraries, 41</w:t>
            </w:r>
            <w:r>
              <w:rPr>
                <w:rFonts w:ascii="Times New Roman" w:hAnsi="Times New Roman" w:cs="Times New Roman"/>
                <w:sz w:val="24"/>
                <w:szCs w:val="24"/>
                <w:lang w:val="en-US"/>
              </w:rPr>
              <w:t xml:space="preserve">(2). </w:t>
            </w:r>
            <w:r>
              <w:fldChar w:fldCharType="begin"/>
            </w:r>
            <w:r>
              <w:instrText xml:space="preserve"> HYPERLINK "https://doi.org/10.6017/ital.v41i2.14820" \t "_new" </w:instrText>
            </w:r>
            <w:r>
              <w:fldChar w:fldCharType="separate"/>
            </w:r>
            <w:r>
              <w:rPr>
                <w:rStyle w:val="16"/>
                <w:rFonts w:ascii="Times New Roman" w:hAnsi="Times New Roman" w:cs="Times New Roman"/>
                <w:color w:val="auto"/>
                <w:sz w:val="24"/>
                <w:szCs w:val="24"/>
                <w:lang w:val="en-US"/>
              </w:rPr>
              <w:t>https://doi.org/10.6017/ital.v41i2.14820</w:t>
            </w:r>
            <w:r>
              <w:rPr>
                <w:rStyle w:val="16"/>
                <w:rFonts w:ascii="Times New Roman" w:hAnsi="Times New Roman" w:cs="Times New Roman"/>
                <w:color w:val="auto"/>
                <w:sz w:val="24"/>
                <w:szCs w:val="24"/>
                <w:lang w:val="en-US"/>
              </w:rPr>
              <w:fldChar w:fldCharType="end"/>
            </w:r>
          </w:p>
          <w:p w14:paraId="70353D98">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Carandang, J. R. (2016). </w:t>
            </w:r>
            <w:r>
              <w:rPr>
                <w:rFonts w:ascii="Times New Roman" w:hAnsi="Times New Roman" w:cs="Times New Roman"/>
                <w:i/>
                <w:iCs/>
                <w:sz w:val="24"/>
                <w:szCs w:val="24"/>
                <w:lang w:val="en-US"/>
              </w:rPr>
              <w:t>Standardizing Philippine digital repositories: A framework for long-term access</w:t>
            </w:r>
            <w:r>
              <w:rPr>
                <w:rFonts w:ascii="Times New Roman" w:hAnsi="Times New Roman" w:cs="Times New Roman"/>
                <w:sz w:val="24"/>
                <w:szCs w:val="24"/>
                <w:lang w:val="en-US"/>
              </w:rPr>
              <w:t>. National Library of the Philippines.</w:t>
            </w:r>
          </w:p>
          <w:p w14:paraId="4588EAF4">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Day, S. (2022). Marginalized voices: The impact of metadata on underrepresented student archives. </w:t>
            </w:r>
            <w:r>
              <w:rPr>
                <w:rFonts w:ascii="Times New Roman" w:hAnsi="Times New Roman" w:cs="Times New Roman"/>
                <w:i/>
                <w:iCs/>
                <w:sz w:val="24"/>
                <w:szCs w:val="24"/>
                <w:lang w:val="en-US"/>
              </w:rPr>
              <w:t>International Journal of Information Management, 62</w:t>
            </w:r>
            <w:r>
              <w:rPr>
                <w:rFonts w:ascii="Times New Roman" w:hAnsi="Times New Roman" w:cs="Times New Roman"/>
                <w:sz w:val="24"/>
                <w:szCs w:val="24"/>
                <w:lang w:val="en-US"/>
              </w:rPr>
              <w:t>, 102–115.</w:t>
            </w:r>
          </w:p>
          <w:p w14:paraId="30AA5A80">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De Vera, M. (2020). </w:t>
            </w:r>
            <w:r>
              <w:rPr>
                <w:rFonts w:ascii="Times New Roman" w:hAnsi="Times New Roman" w:cs="Times New Roman"/>
                <w:i/>
                <w:iCs/>
                <w:sz w:val="24"/>
                <w:szCs w:val="24"/>
                <w:lang w:val="en-US"/>
              </w:rPr>
              <w:t>Mobile library systems and information retrieval efficiency in Philippine higher education</w:t>
            </w:r>
            <w:r>
              <w:rPr>
                <w:rFonts w:ascii="Times New Roman" w:hAnsi="Times New Roman" w:cs="Times New Roman"/>
                <w:sz w:val="24"/>
                <w:szCs w:val="24"/>
                <w:lang w:val="en-US"/>
              </w:rPr>
              <w:t xml:space="preserve"> (Unpublished master’s thesis). University of Santo Tomas.</w:t>
            </w:r>
          </w:p>
          <w:p w14:paraId="125E9B66">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Devlin, J., Chang, M. W., Lee, K., &amp; Toutanova, K. (2019). BERT: Pre-training of deep bidirectional transformers for language understanding. </w:t>
            </w:r>
            <w:r>
              <w:rPr>
                <w:rFonts w:ascii="Times New Roman" w:hAnsi="Times New Roman" w:cs="Times New Roman"/>
                <w:i/>
                <w:iCs/>
                <w:sz w:val="24"/>
                <w:szCs w:val="24"/>
                <w:lang w:val="en-US"/>
              </w:rPr>
              <w:t>Proceedings of NAACL-HLT</w:t>
            </w:r>
            <w:r>
              <w:rPr>
                <w:rFonts w:ascii="Times New Roman" w:hAnsi="Times New Roman" w:cs="Times New Roman"/>
                <w:sz w:val="24"/>
                <w:szCs w:val="24"/>
                <w:lang w:val="en-US"/>
              </w:rPr>
              <w:t>.</w:t>
            </w:r>
          </w:p>
          <w:p w14:paraId="527C42B0">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Dosovitskiy, A., Beyer, L., Kolesnikov, A., et al. (2021). An image is worth 16x16 words: Transformers for image recognition at scale. </w:t>
            </w:r>
            <w:r>
              <w:rPr>
                <w:rFonts w:ascii="Times New Roman" w:hAnsi="Times New Roman" w:cs="Times New Roman"/>
                <w:i/>
                <w:iCs/>
                <w:sz w:val="24"/>
                <w:szCs w:val="24"/>
                <w:lang w:val="en-US"/>
              </w:rPr>
              <w:t>Proceedings of ICLR</w:t>
            </w:r>
            <w:r>
              <w:rPr>
                <w:rFonts w:ascii="Times New Roman" w:hAnsi="Times New Roman" w:cs="Times New Roman"/>
                <w:sz w:val="24"/>
                <w:szCs w:val="24"/>
                <w:lang w:val="en-US"/>
              </w:rPr>
              <w:t>.</w:t>
            </w:r>
          </w:p>
          <w:p w14:paraId="04174158">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Estella, P. G. (2019). Media landscapes—Philippines: Technological disruptions and socio-economic inequalities. </w:t>
            </w:r>
            <w:r>
              <w:rPr>
                <w:rFonts w:ascii="Times New Roman" w:hAnsi="Times New Roman" w:cs="Times New Roman"/>
                <w:i/>
                <w:iCs/>
                <w:sz w:val="24"/>
                <w:szCs w:val="24"/>
                <w:lang w:val="en-US"/>
              </w:rPr>
              <w:t>Asian Journal of Communication, 29</w:t>
            </w:r>
            <w:r>
              <w:rPr>
                <w:rFonts w:ascii="Times New Roman" w:hAnsi="Times New Roman" w:cs="Times New Roman"/>
                <w:sz w:val="24"/>
                <w:szCs w:val="24"/>
                <w:lang w:val="en-US"/>
              </w:rPr>
              <w:t>(4), 312–328.</w:t>
            </w:r>
          </w:p>
          <w:p w14:paraId="0B32738F">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Fabros, A. C. (2021). Thematic clustering in media platforms for social development. </w:t>
            </w:r>
            <w:r>
              <w:rPr>
                <w:rFonts w:ascii="Times New Roman" w:hAnsi="Times New Roman" w:cs="Times New Roman"/>
                <w:i/>
                <w:iCs/>
                <w:sz w:val="24"/>
                <w:szCs w:val="24"/>
                <w:lang w:val="en-US"/>
              </w:rPr>
              <w:t>Philippine Journal of Public Administration, 65</w:t>
            </w:r>
            <w:r>
              <w:rPr>
                <w:rFonts w:ascii="Times New Roman" w:hAnsi="Times New Roman" w:cs="Times New Roman"/>
                <w:sz w:val="24"/>
                <w:szCs w:val="24"/>
                <w:lang w:val="en-US"/>
              </w:rPr>
              <w:t>(1), 45–62.</w:t>
            </w:r>
          </w:p>
          <w:p w14:paraId="2987FD55">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Garcia, R. M., &amp; Dela Cruz, J. (2022). Documenting change: The role of student-led films in Philippine development communication. </w:t>
            </w:r>
            <w:r>
              <w:rPr>
                <w:rFonts w:ascii="Times New Roman" w:hAnsi="Times New Roman" w:cs="Times New Roman"/>
                <w:i/>
                <w:iCs/>
                <w:sz w:val="24"/>
                <w:szCs w:val="24"/>
                <w:lang w:val="en-US"/>
              </w:rPr>
              <w:t>Plaridel: A Philippine Journal of Communication, Media, and Society, 19</w:t>
            </w:r>
            <w:r>
              <w:rPr>
                <w:rFonts w:ascii="Times New Roman" w:hAnsi="Times New Roman" w:cs="Times New Roman"/>
                <w:sz w:val="24"/>
                <w:szCs w:val="24"/>
                <w:lang w:val="en-US"/>
              </w:rPr>
              <w:t>(1), 88–110.</w:t>
            </w:r>
          </w:p>
          <w:p w14:paraId="610E6B30">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Guo, R., Sun, P., Lindgren, E., et al. (2022). Accelerating large-scale inference with vector similarity search. </w:t>
            </w:r>
            <w:r>
              <w:rPr>
                <w:rFonts w:ascii="Times New Roman" w:hAnsi="Times New Roman" w:cs="Times New Roman"/>
                <w:i/>
                <w:iCs/>
                <w:sz w:val="24"/>
                <w:szCs w:val="24"/>
                <w:lang w:val="en-US"/>
              </w:rPr>
              <w:t>IEEE Data Engineering Bulletin</w:t>
            </w:r>
            <w:r>
              <w:rPr>
                <w:rFonts w:ascii="Times New Roman" w:hAnsi="Times New Roman" w:cs="Times New Roman"/>
                <w:sz w:val="24"/>
                <w:szCs w:val="24"/>
                <w:lang w:val="en-US"/>
              </w:rPr>
              <w:t>.</w:t>
            </w:r>
          </w:p>
          <w:p w14:paraId="0132EAF4">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IASA. (2024). </w:t>
            </w:r>
            <w:r>
              <w:rPr>
                <w:rFonts w:ascii="Times New Roman" w:hAnsi="Times New Roman" w:cs="Times New Roman"/>
                <w:i/>
                <w:iCs/>
                <w:sz w:val="24"/>
                <w:szCs w:val="24"/>
                <w:lang w:val="en-US"/>
              </w:rPr>
              <w:t>The handling and storage of audio and video carriers (IASA-TC 05)</w:t>
            </w:r>
            <w:r>
              <w:rPr>
                <w:rFonts w:ascii="Times New Roman" w:hAnsi="Times New Roman" w:cs="Times New Roman"/>
                <w:sz w:val="24"/>
                <w:szCs w:val="24"/>
                <w:lang w:val="en-US"/>
              </w:rPr>
              <w:t>. International Association of Sound and Audiovisual Archives.</w:t>
            </w:r>
          </w:p>
          <w:p w14:paraId="196C564E">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Johnson, L., &amp; Smith, K. (2021). Smartphone-based learning: Bridging the remote access gap in higher education. </w:t>
            </w:r>
            <w:r>
              <w:rPr>
                <w:rFonts w:ascii="Times New Roman" w:hAnsi="Times New Roman" w:cs="Times New Roman"/>
                <w:i/>
                <w:iCs/>
                <w:sz w:val="24"/>
                <w:szCs w:val="24"/>
                <w:lang w:val="en-US"/>
              </w:rPr>
              <w:t>Educational Technology Research and Development, 69</w:t>
            </w:r>
            <w:r>
              <w:rPr>
                <w:rFonts w:ascii="Times New Roman" w:hAnsi="Times New Roman" w:cs="Times New Roman"/>
                <w:sz w:val="24"/>
                <w:szCs w:val="24"/>
                <w:lang w:val="en-US"/>
              </w:rPr>
              <w:t>(2), 541–558.</w:t>
            </w:r>
          </w:p>
          <w:p w14:paraId="6C37A2A2">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Lee, C., &amp; Tan, R. (2022). Portable archives: Real-time access to multimedia content via mobile platforms. </w:t>
            </w:r>
            <w:r>
              <w:rPr>
                <w:rFonts w:ascii="Times New Roman" w:hAnsi="Times New Roman" w:cs="Times New Roman"/>
                <w:i/>
                <w:iCs/>
                <w:sz w:val="24"/>
                <w:szCs w:val="24"/>
                <w:lang w:val="en-US"/>
              </w:rPr>
              <w:t>Digital Scholarship in the Humanities, 37</w:t>
            </w:r>
            <w:r>
              <w:rPr>
                <w:rFonts w:ascii="Times New Roman" w:hAnsi="Times New Roman" w:cs="Times New Roman"/>
                <w:sz w:val="24"/>
                <w:szCs w:val="24"/>
                <w:lang w:val="en-US"/>
              </w:rPr>
              <w:t>(4), 982–995.</w:t>
            </w:r>
          </w:p>
          <w:p w14:paraId="2D672451">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Liu, Y., Wang, L., &amp; Huang, Q. (2019). Deep learning-based multimedia content analysis: A survey. </w:t>
            </w:r>
            <w:r>
              <w:rPr>
                <w:rFonts w:ascii="Times New Roman" w:hAnsi="Times New Roman" w:cs="Times New Roman"/>
                <w:i/>
                <w:iCs/>
                <w:sz w:val="24"/>
                <w:szCs w:val="24"/>
                <w:lang w:val="en-US"/>
              </w:rPr>
              <w:t>Multimedia Tools and Applications</w:t>
            </w:r>
            <w:r>
              <w:rPr>
                <w:rFonts w:ascii="Times New Roman" w:hAnsi="Times New Roman" w:cs="Times New Roman"/>
                <w:sz w:val="24"/>
                <w:szCs w:val="24"/>
                <w:lang w:val="en-US"/>
              </w:rPr>
              <w:t>.</w:t>
            </w:r>
          </w:p>
          <w:p w14:paraId="68E8F23E">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Pantaleta, J. (2023). </w:t>
            </w:r>
            <w:r>
              <w:rPr>
                <w:rFonts w:ascii="Times New Roman" w:hAnsi="Times New Roman" w:cs="Times New Roman"/>
                <w:i/>
                <w:iCs/>
                <w:sz w:val="24"/>
                <w:szCs w:val="24"/>
                <w:lang w:val="en-US"/>
              </w:rPr>
              <w:t>Digital metadata and cultural sustainability in Philippine institutional archives</w:t>
            </w:r>
            <w:r>
              <w:rPr>
                <w:rFonts w:ascii="Times New Roman" w:hAnsi="Times New Roman" w:cs="Times New Roman"/>
                <w:sz w:val="24"/>
                <w:szCs w:val="24"/>
                <w:lang w:val="en-US"/>
              </w:rPr>
              <w:t>. National Archives of the Philippines.</w:t>
            </w:r>
          </w:p>
          <w:p w14:paraId="4BA224EA">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Pedraza, A., &amp; Canoy, L. S. (2025). Participatory media and local documentary production in the Philippines. </w:t>
            </w:r>
            <w:r>
              <w:rPr>
                <w:rFonts w:ascii="Times New Roman" w:hAnsi="Times New Roman" w:cs="Times New Roman"/>
                <w:i/>
                <w:iCs/>
                <w:sz w:val="24"/>
                <w:szCs w:val="24"/>
                <w:lang w:val="en-US"/>
              </w:rPr>
              <w:t>Journal of Development Communication, 36</w:t>
            </w:r>
            <w:r>
              <w:rPr>
                <w:rFonts w:ascii="Times New Roman" w:hAnsi="Times New Roman" w:cs="Times New Roman"/>
                <w:sz w:val="24"/>
                <w:szCs w:val="24"/>
                <w:lang w:val="en-US"/>
              </w:rPr>
              <w:t>(1), 12–28.</w:t>
            </w:r>
          </w:p>
          <w:p w14:paraId="266F1088">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Plaridel Journal. (2023). Special issue: Regional fabrics in communication and media. </w:t>
            </w:r>
            <w:r>
              <w:rPr>
                <w:rFonts w:ascii="Times New Roman" w:hAnsi="Times New Roman" w:cs="Times New Roman"/>
                <w:i/>
                <w:iCs/>
                <w:sz w:val="24"/>
                <w:szCs w:val="24"/>
                <w:lang w:val="en-US"/>
              </w:rPr>
              <w:t>Plaridel Journal, 20</w:t>
            </w:r>
            <w:r>
              <w:rPr>
                <w:rFonts w:ascii="Times New Roman" w:hAnsi="Times New Roman" w:cs="Times New Roman"/>
                <w:sz w:val="24"/>
                <w:szCs w:val="24"/>
                <w:lang w:val="en-US"/>
              </w:rPr>
              <w:t xml:space="preserve">(2). </w:t>
            </w:r>
            <w:r>
              <w:fldChar w:fldCharType="begin"/>
            </w:r>
            <w:r>
              <w:instrText xml:space="preserve"> HYPERLINK "https://www.plarideljournal.org/archives/" \t "_new" </w:instrText>
            </w:r>
            <w:r>
              <w:fldChar w:fldCharType="separate"/>
            </w:r>
            <w:r>
              <w:rPr>
                <w:rStyle w:val="16"/>
                <w:rFonts w:ascii="Times New Roman" w:hAnsi="Times New Roman" w:cs="Times New Roman"/>
                <w:color w:val="auto"/>
                <w:sz w:val="24"/>
                <w:szCs w:val="24"/>
                <w:lang w:val="en-US"/>
              </w:rPr>
              <w:t>https://www.plarideljournal.org/archives/</w:t>
            </w:r>
            <w:r>
              <w:rPr>
                <w:rStyle w:val="16"/>
                <w:rFonts w:ascii="Times New Roman" w:hAnsi="Times New Roman" w:cs="Times New Roman"/>
                <w:color w:val="auto"/>
                <w:sz w:val="24"/>
                <w:szCs w:val="24"/>
                <w:lang w:val="en-US"/>
              </w:rPr>
              <w:fldChar w:fldCharType="end"/>
            </w:r>
          </w:p>
          <w:p w14:paraId="0DD9FDFD">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Radford, A., Kim, J. W., Hallacy, C., et al. (2021). Learning transferable visual models from natural language supervision. </w:t>
            </w:r>
            <w:r>
              <w:rPr>
                <w:rFonts w:ascii="Times New Roman" w:hAnsi="Times New Roman" w:cs="Times New Roman"/>
                <w:i/>
                <w:iCs/>
                <w:sz w:val="24"/>
                <w:szCs w:val="24"/>
                <w:lang w:val="en-US"/>
              </w:rPr>
              <w:t>Proceedings of ICML</w:t>
            </w:r>
            <w:r>
              <w:rPr>
                <w:rFonts w:ascii="Times New Roman" w:hAnsi="Times New Roman" w:cs="Times New Roman"/>
                <w:sz w:val="24"/>
                <w:szCs w:val="24"/>
                <w:lang w:val="en-US"/>
              </w:rPr>
              <w:t>.</w:t>
            </w:r>
          </w:p>
          <w:p w14:paraId="7EF17872">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Reyes, J. B. (2024). Barriers to access: The state of student-produced film archiving in Philippine universities. </w:t>
            </w:r>
            <w:r>
              <w:rPr>
                <w:rFonts w:ascii="Times New Roman" w:hAnsi="Times New Roman" w:cs="Times New Roman"/>
                <w:i/>
                <w:iCs/>
                <w:sz w:val="24"/>
                <w:szCs w:val="24"/>
                <w:lang w:val="en-US"/>
              </w:rPr>
              <w:t>Philippine Humanities Review, 26</w:t>
            </w:r>
            <w:r>
              <w:rPr>
                <w:rFonts w:ascii="Times New Roman" w:hAnsi="Times New Roman" w:cs="Times New Roman"/>
                <w:sz w:val="24"/>
                <w:szCs w:val="24"/>
                <w:lang w:val="en-US"/>
              </w:rPr>
              <w:t>(1), 74–91.</w:t>
            </w:r>
          </w:p>
          <w:p w14:paraId="10A6ADB2">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Reyes, M. (2025). Empowerment through digital storytelling: A longitudinal study of DevCom student films. </w:t>
            </w:r>
            <w:r>
              <w:rPr>
                <w:rFonts w:ascii="Times New Roman" w:hAnsi="Times New Roman" w:cs="Times New Roman"/>
                <w:i/>
                <w:iCs/>
                <w:sz w:val="24"/>
                <w:szCs w:val="24"/>
                <w:lang w:val="en-US"/>
              </w:rPr>
              <w:t>Asian Media and Communication Review, 4</w:t>
            </w:r>
            <w:r>
              <w:rPr>
                <w:rFonts w:ascii="Times New Roman" w:hAnsi="Times New Roman" w:cs="Times New Roman"/>
                <w:sz w:val="24"/>
                <w:szCs w:val="24"/>
                <w:lang w:val="en-US"/>
              </w:rPr>
              <w:t>(2), 201–218.</w:t>
            </w:r>
          </w:p>
          <w:p w14:paraId="656237F0">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Roman-Tamesis, J., &amp; Cruz, F. A. C. (2024). Philippine identities and digital humanities in the age of artificial intelligence. UP Center for Integrative and Development Studies.</w:t>
            </w:r>
          </w:p>
          <w:p w14:paraId="0408EDD3">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Santos, E. (2021). App-based access and digital inclusion in resource-constrained Philippine universities. </w:t>
            </w:r>
            <w:r>
              <w:rPr>
                <w:rFonts w:ascii="Times New Roman" w:hAnsi="Times New Roman" w:cs="Times New Roman"/>
                <w:i/>
                <w:iCs/>
                <w:sz w:val="24"/>
                <w:szCs w:val="24"/>
                <w:lang w:val="en-US"/>
              </w:rPr>
              <w:t>Philippine Journal of Science and Technology, 15</w:t>
            </w:r>
            <w:r>
              <w:rPr>
                <w:rFonts w:ascii="Times New Roman" w:hAnsi="Times New Roman" w:cs="Times New Roman"/>
                <w:sz w:val="24"/>
                <w:szCs w:val="24"/>
                <w:lang w:val="en-US"/>
              </w:rPr>
              <w:t>(2), 112–125.</w:t>
            </w:r>
          </w:p>
          <w:p w14:paraId="65985FE3">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UNESCO. (2023). </w:t>
            </w:r>
            <w:r>
              <w:rPr>
                <w:rFonts w:ascii="Times New Roman" w:hAnsi="Times New Roman" w:cs="Times New Roman"/>
                <w:i/>
                <w:iCs/>
                <w:sz w:val="24"/>
                <w:szCs w:val="24"/>
                <w:lang w:val="en-US"/>
              </w:rPr>
              <w:t>Digital transformation in higher education: Global trends and mobile strategies</w:t>
            </w:r>
            <w:r>
              <w:rPr>
                <w:rFonts w:ascii="Times New Roman" w:hAnsi="Times New Roman" w:cs="Times New Roman"/>
                <w:sz w:val="24"/>
                <w:szCs w:val="24"/>
                <w:lang w:val="en-US"/>
              </w:rPr>
              <w:t>. UNESCO Publishing.</w:t>
            </w:r>
          </w:p>
          <w:p w14:paraId="21A37610">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University of the Philippines Film Institute. (2024). </w:t>
            </w:r>
            <w:r>
              <w:rPr>
                <w:rFonts w:ascii="Times New Roman" w:hAnsi="Times New Roman" w:cs="Times New Roman"/>
                <w:i/>
                <w:iCs/>
                <w:sz w:val="24"/>
                <w:szCs w:val="24"/>
                <w:lang w:val="en-US"/>
              </w:rPr>
              <w:t>Technical report of the audiovisual archival survey</w:t>
            </w:r>
            <w:r>
              <w:rPr>
                <w:rFonts w:ascii="Times New Roman" w:hAnsi="Times New Roman" w:cs="Times New Roman"/>
                <w:sz w:val="24"/>
                <w:szCs w:val="24"/>
                <w:lang w:val="en-US"/>
              </w:rPr>
              <w:t>. UPFI Film Archives &amp; Library.</w:t>
            </w:r>
          </w:p>
          <w:p w14:paraId="16F4FB30">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World Bank. (2025). </w:t>
            </w:r>
            <w:r>
              <w:rPr>
                <w:rFonts w:ascii="Times New Roman" w:hAnsi="Times New Roman" w:cs="Times New Roman"/>
                <w:i/>
                <w:iCs/>
                <w:sz w:val="24"/>
                <w:szCs w:val="24"/>
                <w:lang w:val="en-US"/>
              </w:rPr>
              <w:t>Digital inclusion and smartphone penetration in developing economies</w:t>
            </w:r>
            <w:r>
              <w:rPr>
                <w:rFonts w:ascii="Times New Roman" w:hAnsi="Times New Roman" w:cs="Times New Roman"/>
                <w:sz w:val="24"/>
                <w:szCs w:val="24"/>
                <w:lang w:val="en-US"/>
              </w:rPr>
              <w:t>. World Bank Group.</w:t>
            </w:r>
          </w:p>
          <w:p w14:paraId="4F551CD4">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Zhang, D., Wang, X., &amp; Liu, H. (2020). Semantic-based video retrieval using deep neural networks. </w:t>
            </w:r>
            <w:r>
              <w:rPr>
                <w:rFonts w:ascii="Times New Roman" w:hAnsi="Times New Roman" w:cs="Times New Roman"/>
                <w:i/>
                <w:iCs/>
                <w:sz w:val="24"/>
                <w:szCs w:val="24"/>
                <w:lang w:val="en-US"/>
              </w:rPr>
              <w:t>Journal of Visual Communication and Image Representation</w:t>
            </w:r>
            <w:r>
              <w:rPr>
                <w:rFonts w:ascii="Times New Roman" w:hAnsi="Times New Roman" w:cs="Times New Roman"/>
                <w:sz w:val="24"/>
                <w:szCs w:val="24"/>
                <w:lang w:val="en-US"/>
              </w:rPr>
              <w:t>.</w:t>
            </w:r>
          </w:p>
          <w:p w14:paraId="530D39BF">
            <w:pPr>
              <w:spacing w:after="160" w:line="278"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Zhu, C., Li, Y., &amp; Wang, S. (2023). Deep learning for video-text retrieval: A review. </w:t>
            </w:r>
            <w:r>
              <w:rPr>
                <w:rFonts w:ascii="Times New Roman" w:hAnsi="Times New Roman" w:cs="Times New Roman"/>
                <w:i/>
                <w:iCs/>
                <w:sz w:val="24"/>
                <w:szCs w:val="24"/>
                <w:lang w:val="en-US"/>
              </w:rPr>
              <w:t>International Journal of Multimedia Information Retrieval</w:t>
            </w:r>
            <w:r>
              <w:rPr>
                <w:rFonts w:ascii="Times New Roman" w:hAnsi="Times New Roman" w:cs="Times New Roman"/>
                <w:sz w:val="24"/>
                <w:szCs w:val="24"/>
                <w:lang w:val="en-US"/>
              </w:rPr>
              <w:t>.</w:t>
            </w:r>
          </w:p>
        </w:tc>
      </w:tr>
    </w:tbl>
    <w:p w14:paraId="22CF3F02">
      <w:pPr>
        <w:spacing w:after="0" w:line="240" w:lineRule="auto"/>
        <w:rPr>
          <w:rFonts w:ascii="Times New Roman" w:hAnsi="Times New Roman" w:eastAsia="Times New Roman" w:cs="Times New Roman"/>
          <w:b/>
          <w:bCs/>
          <w:sz w:val="24"/>
          <w:szCs w:val="24"/>
        </w:rPr>
      </w:pPr>
    </w:p>
    <w:p w14:paraId="03B0FAA9">
      <w:pPr>
        <w:spacing w:after="0" w:line="240" w:lineRule="auto"/>
        <w:rPr>
          <w:rFonts w:ascii="Times New Roman" w:hAnsi="Times New Roman" w:eastAsia="Times New Roman" w:cs="Times New Roman"/>
          <w:b/>
          <w:bCs/>
          <w:sz w:val="24"/>
          <w:szCs w:val="24"/>
        </w:rPr>
      </w:pPr>
    </w:p>
    <w:p w14:paraId="378CCB16">
      <w:pPr>
        <w:spacing w:after="0" w:line="240" w:lineRule="auto"/>
        <w:rPr>
          <w:rFonts w:ascii="Times New Roman" w:hAnsi="Times New Roman" w:eastAsia="Times New Roman" w:cs="Times New Roman"/>
          <w:b/>
          <w:bCs/>
          <w:sz w:val="24"/>
          <w:szCs w:val="24"/>
        </w:rPr>
      </w:pPr>
    </w:p>
    <w:p w14:paraId="2F57CC7B">
      <w:pPr>
        <w:spacing w:after="0" w:line="240" w:lineRule="auto"/>
        <w:rPr>
          <w:rFonts w:ascii="Times New Roman" w:hAnsi="Times New Roman" w:eastAsia="Times New Roman" w:cs="Times New Roman"/>
          <w:b/>
          <w:bCs/>
          <w:sz w:val="24"/>
          <w:szCs w:val="24"/>
        </w:rPr>
      </w:pPr>
    </w:p>
    <w:p w14:paraId="564C5B15">
      <w:pPr>
        <w:spacing w:after="0" w:line="240" w:lineRule="auto"/>
        <w:rPr>
          <w:rFonts w:ascii="Times New Roman" w:hAnsi="Times New Roman" w:eastAsia="Times New Roman" w:cs="Times New Roman"/>
          <w:b/>
          <w:bCs/>
          <w:sz w:val="24"/>
          <w:szCs w:val="24"/>
        </w:rPr>
      </w:pPr>
    </w:p>
    <w:p w14:paraId="4A4F0AA5">
      <w:pPr>
        <w:tabs>
          <w:tab w:val="left" w:pos="1930"/>
        </w:tabs>
        <w:spacing w:after="0" w:line="240" w:lineRule="auto"/>
        <w:rPr>
          <w:rFonts w:ascii="Times New Roman" w:hAnsi="Times New Roman" w:eastAsia="Times New Roman" w:cs="Times New Roman"/>
          <w:b/>
          <w:bCs/>
          <w:sz w:val="24"/>
          <w:szCs w:val="24"/>
        </w:rPr>
      </w:pPr>
    </w:p>
    <w:p w14:paraId="6D6FAFA6">
      <w:pPr>
        <w:tabs>
          <w:tab w:val="left" w:pos="1930"/>
        </w:tabs>
        <w:spacing w:after="0" w:line="240" w:lineRule="auto"/>
        <w:rPr>
          <w:rFonts w:ascii="Times New Roman" w:hAnsi="Times New Roman" w:eastAsia="Times New Roman" w:cs="Times New Roman"/>
          <w:b/>
          <w:bCs/>
          <w:sz w:val="24"/>
          <w:szCs w:val="24"/>
        </w:rPr>
      </w:pPr>
    </w:p>
    <w:p w14:paraId="090613FA">
      <w:pPr>
        <w:tabs>
          <w:tab w:val="left" w:pos="1930"/>
        </w:tabs>
        <w:spacing w:after="0" w:line="240" w:lineRule="auto"/>
        <w:rPr>
          <w:rFonts w:ascii="Times New Roman" w:hAnsi="Times New Roman" w:eastAsia="Times New Roman" w:cs="Times New Roman"/>
          <w:b/>
          <w:bCs/>
          <w:sz w:val="24"/>
          <w:szCs w:val="24"/>
        </w:rPr>
      </w:pPr>
    </w:p>
    <w:p w14:paraId="7445B902">
      <w:pPr>
        <w:tabs>
          <w:tab w:val="left" w:pos="1930"/>
        </w:tabs>
        <w:spacing w:after="0" w:line="240" w:lineRule="auto"/>
        <w:rPr>
          <w:rFonts w:ascii="Times New Roman" w:hAnsi="Times New Roman" w:eastAsia="Times New Roman" w:cs="Times New Roman"/>
          <w:b/>
          <w:bCs/>
          <w:sz w:val="24"/>
          <w:szCs w:val="24"/>
        </w:rPr>
      </w:pPr>
    </w:p>
    <w:p w14:paraId="623A5730">
      <w:pPr>
        <w:tabs>
          <w:tab w:val="left" w:pos="1930"/>
        </w:tabs>
        <w:spacing w:after="0" w:line="240" w:lineRule="auto"/>
        <w:rPr>
          <w:rFonts w:ascii="Times New Roman" w:hAnsi="Times New Roman" w:eastAsia="Times New Roman" w:cs="Times New Roman"/>
          <w:b/>
          <w:bCs/>
          <w:sz w:val="24"/>
          <w:szCs w:val="24"/>
        </w:rPr>
      </w:pPr>
    </w:p>
    <w:p w14:paraId="4DC88639">
      <w:pPr>
        <w:tabs>
          <w:tab w:val="left" w:pos="1930"/>
        </w:tabs>
        <w:spacing w:after="0" w:line="240" w:lineRule="auto"/>
        <w:rPr>
          <w:rFonts w:ascii="Times New Roman" w:hAnsi="Times New Roman" w:eastAsia="Times New Roman" w:cs="Times New Roman"/>
          <w:b/>
          <w:bCs/>
          <w:sz w:val="24"/>
          <w:szCs w:val="24"/>
        </w:rPr>
      </w:pPr>
    </w:p>
    <w:tbl>
      <w:tblPr>
        <w:tblStyle w:val="9"/>
        <w:tblpPr w:leftFromText="180" w:rightFromText="180" w:vertAnchor="text" w:horzAnchor="page" w:tblpX="902" w:tblpY="42"/>
        <w:tblOverlap w:val="never"/>
        <w:tblW w:w="10615" w:type="dxa"/>
        <w:tblInd w:w="0" w:type="dxa"/>
        <w:tblLayout w:type="autofit"/>
        <w:tblCellMar>
          <w:top w:w="0" w:type="dxa"/>
          <w:left w:w="0" w:type="dxa"/>
          <w:bottom w:w="0" w:type="dxa"/>
          <w:right w:w="0" w:type="dxa"/>
        </w:tblCellMar>
      </w:tblPr>
      <w:tblGrid>
        <w:gridCol w:w="2822"/>
        <w:gridCol w:w="3118"/>
        <w:gridCol w:w="2263"/>
        <w:gridCol w:w="300"/>
        <w:gridCol w:w="300"/>
        <w:gridCol w:w="300"/>
        <w:gridCol w:w="300"/>
        <w:gridCol w:w="300"/>
        <w:gridCol w:w="300"/>
        <w:gridCol w:w="300"/>
        <w:gridCol w:w="312"/>
      </w:tblGrid>
      <w:tr w14:paraId="095F5FAB">
        <w:tblPrEx>
          <w:tblCellMar>
            <w:top w:w="0" w:type="dxa"/>
            <w:left w:w="0" w:type="dxa"/>
            <w:bottom w:w="0" w:type="dxa"/>
            <w:right w:w="0" w:type="dxa"/>
          </w:tblCellMar>
        </w:tblPrEx>
        <w:trPr>
          <w:trHeight w:val="240" w:hRule="atLeast"/>
        </w:trPr>
        <w:tc>
          <w:tcPr>
            <w:tcW w:w="2822"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555849DC">
            <w:pPr>
              <w:pStyle w:val="17"/>
              <w:textAlignment w:val="baseline"/>
            </w:pPr>
            <w:r>
              <w:rPr>
                <w:rFonts w:ascii="Arial" w:hAnsi="Arial" w:cs="Arial"/>
                <w:b/>
                <w:bCs/>
              </w:rPr>
              <w:t>PROJECT OBJECTIVES</w:t>
            </w:r>
            <w:r>
              <w:rPr>
                <w:rFonts w:ascii="Arial" w:hAnsi="Arial" w:cs="Arial"/>
              </w:rPr>
              <w:t> </w:t>
            </w:r>
          </w:p>
        </w:tc>
        <w:tc>
          <w:tcPr>
            <w:tcW w:w="3118"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371668AB">
            <w:pPr>
              <w:pStyle w:val="17"/>
              <w:textAlignment w:val="baseline"/>
            </w:pPr>
            <w:r>
              <w:rPr>
                <w:rFonts w:ascii="Arial" w:hAnsi="Arial" w:cs="Arial"/>
                <w:b/>
                <w:bCs/>
              </w:rPr>
              <w:t>TARGET ACTIVITIES</w:t>
            </w:r>
            <w:r>
              <w:rPr>
                <w:rFonts w:ascii="Arial" w:hAnsi="Arial" w:cs="Arial"/>
              </w:rPr>
              <w:t> </w:t>
            </w:r>
          </w:p>
        </w:tc>
        <w:tc>
          <w:tcPr>
            <w:tcW w:w="2263"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71BA499A">
            <w:pPr>
              <w:pStyle w:val="17"/>
              <w:textAlignment w:val="baseline"/>
            </w:pPr>
            <w:r>
              <w:rPr>
                <w:rFonts w:ascii="Arial" w:hAnsi="Arial" w:cs="Arial"/>
                <w:b/>
                <w:bCs/>
              </w:rPr>
              <w:t>OBJECTIVELY VERIFIABLE INDICATORS</w:t>
            </w: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12A67EDA">
            <w:pPr>
              <w:pStyle w:val="17"/>
              <w:spacing w:after="128"/>
              <w:textAlignment w:val="baseline"/>
            </w:pPr>
            <w:r>
              <w:rPr>
                <w:rFonts w:ascii="Arial" w:hAnsi="Arial" w:cs="Arial"/>
                <w:b/>
                <w:bCs/>
              </w:rPr>
              <w:t>1</w:t>
            </w: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185D25DF">
            <w:pPr>
              <w:pStyle w:val="17"/>
              <w:spacing w:after="128"/>
              <w:textAlignment w:val="baseline"/>
            </w:pPr>
            <w:r>
              <w:rPr>
                <w:rFonts w:ascii="Arial" w:hAnsi="Arial" w:cs="Arial"/>
                <w:b/>
                <w:bCs/>
              </w:rPr>
              <w:t>2</w:t>
            </w: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4882AA16">
            <w:pPr>
              <w:pStyle w:val="17"/>
              <w:spacing w:after="128"/>
              <w:textAlignment w:val="baseline"/>
            </w:pPr>
            <w:r>
              <w:rPr>
                <w:rFonts w:ascii="Arial" w:hAnsi="Arial" w:cs="Arial"/>
                <w:b/>
                <w:bCs/>
              </w:rPr>
              <w:t>3</w:t>
            </w: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57C3F22C">
            <w:pPr>
              <w:pStyle w:val="17"/>
              <w:spacing w:after="128"/>
              <w:textAlignment w:val="baseline"/>
            </w:pPr>
            <w:r>
              <w:rPr>
                <w:rFonts w:ascii="Arial" w:hAnsi="Arial" w:cs="Arial"/>
                <w:b/>
                <w:bCs/>
              </w:rPr>
              <w:t>4</w:t>
            </w: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132E5635">
            <w:pPr>
              <w:pStyle w:val="17"/>
              <w:spacing w:after="128"/>
              <w:textAlignment w:val="baseline"/>
            </w:pPr>
            <w:r>
              <w:rPr>
                <w:rFonts w:ascii="Arial" w:hAnsi="Arial" w:cs="Arial"/>
                <w:b/>
                <w:bCs/>
              </w:rPr>
              <w:t>5</w:t>
            </w: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73ADE905">
            <w:pPr>
              <w:pStyle w:val="17"/>
              <w:spacing w:after="128"/>
              <w:textAlignment w:val="baseline"/>
            </w:pPr>
            <w:r>
              <w:rPr>
                <w:rFonts w:ascii="Arial" w:hAnsi="Arial" w:cs="Arial"/>
                <w:b/>
                <w:bCs/>
              </w:rPr>
              <w:t>6</w:t>
            </w: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2F2F2"/>
            <w:vAlign w:val="center"/>
          </w:tcPr>
          <w:p w14:paraId="71D166BD">
            <w:pPr>
              <w:pStyle w:val="17"/>
              <w:spacing w:after="128"/>
              <w:textAlignment w:val="baseline"/>
            </w:pPr>
            <w:r>
              <w:rPr>
                <w:rFonts w:ascii="Arial" w:hAnsi="Arial" w:cs="Arial"/>
                <w:b/>
                <w:bCs/>
              </w:rPr>
              <w:t>7</w:t>
            </w:r>
            <w:r>
              <w:rPr>
                <w:rFonts w:ascii="Arial" w:hAnsi="Arial" w:cs="Arial"/>
              </w:rPr>
              <w:t> </w:t>
            </w:r>
          </w:p>
        </w:tc>
        <w:tc>
          <w:tcPr>
            <w:tcW w:w="312" w:type="dxa"/>
            <w:tcBorders>
              <w:top w:val="single" w:color="DDDDDD" w:sz="4" w:space="0"/>
              <w:left w:val="single" w:color="DDDDDD" w:sz="4" w:space="0"/>
              <w:bottom w:val="single" w:color="DDDDDD" w:sz="4" w:space="0"/>
              <w:right w:val="single" w:color="DDDDDD" w:sz="4" w:space="0"/>
            </w:tcBorders>
            <w:shd w:val="clear" w:color="auto" w:fill="F2F2F2"/>
          </w:tcPr>
          <w:p w14:paraId="189CF734">
            <w:pPr>
              <w:pStyle w:val="17"/>
              <w:spacing w:before="240" w:beforeAutospacing="0" w:after="128"/>
              <w:jc w:val="center"/>
              <w:textAlignment w:val="baseline"/>
              <w:rPr>
                <w:rFonts w:ascii="Arial" w:hAnsi="Arial" w:cs="Arial"/>
                <w:b/>
                <w:bCs/>
              </w:rPr>
            </w:pPr>
            <w:r>
              <w:rPr>
                <w:rFonts w:ascii="Arial" w:hAnsi="Arial" w:cs="Arial"/>
                <w:b/>
                <w:bCs/>
              </w:rPr>
              <w:t>8</w:t>
            </w:r>
          </w:p>
        </w:tc>
      </w:tr>
      <w:tr w14:paraId="69B42FE5">
        <w:tblPrEx>
          <w:tblCellMar>
            <w:top w:w="0" w:type="dxa"/>
            <w:left w:w="0" w:type="dxa"/>
            <w:bottom w:w="0" w:type="dxa"/>
            <w:right w:w="0" w:type="dxa"/>
          </w:tblCellMar>
        </w:tblPrEx>
        <w:trPr>
          <w:trHeight w:val="3470" w:hRule="atLeast"/>
        </w:trPr>
        <w:tc>
          <w:tcPr>
            <w:tcW w:w="2822" w:type="dxa"/>
            <w:tcBorders>
              <w:top w:val="single" w:color="DDDDDD" w:sz="4" w:space="0"/>
              <w:left w:val="single" w:color="DDDDDD" w:sz="4" w:space="0"/>
              <w:bottom w:val="single" w:color="DDDDDD" w:sz="4" w:space="0"/>
              <w:right w:val="single" w:color="DDDDDD" w:sz="4" w:space="0"/>
            </w:tcBorders>
            <w:vAlign w:val="center"/>
          </w:tcPr>
          <w:p w14:paraId="2AE5D21A">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Objective 1:</w:t>
            </w:r>
            <w:r>
              <w:rPr>
                <w:rFonts w:ascii="Times New Roman" w:hAnsi="Times New Roman" w:eastAsia="Times New Roman" w:cs="Times New Roman"/>
                <w:color w:val="1F1F1F"/>
                <w:sz w:val="24"/>
                <w:szCs w:val="24"/>
              </w:rPr>
              <w:t xml:space="preserve"> Develop a film submission and metadata management module.</w:t>
            </w:r>
          </w:p>
        </w:tc>
        <w:tc>
          <w:tcPr>
            <w:tcW w:w="3118" w:type="dxa"/>
            <w:tcBorders>
              <w:top w:val="single" w:color="DDDDDD" w:sz="4" w:space="0"/>
              <w:left w:val="single" w:color="DDDDDD" w:sz="4" w:space="0"/>
              <w:bottom w:val="single" w:color="DDDDDD" w:sz="4" w:space="0"/>
              <w:right w:val="single" w:color="DDDDDD" w:sz="4" w:space="0"/>
            </w:tcBorders>
            <w:vAlign w:val="center"/>
          </w:tcPr>
          <w:p w14:paraId="4DBA0503">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xml:space="preserve"> Research: Conduct Survey Questionnaires and Semi-structured Interviews with students, officers, and faculty to identify preferred features and archiving workflows.</w:t>
            </w:r>
          </w:p>
          <w:p w14:paraId="745F2E8F">
            <w:pPr>
              <w:spacing w:after="0" w:line="240" w:lineRule="auto"/>
              <w:rPr>
                <w:rFonts w:ascii="Times New Roman" w:hAnsi="Times New Roman" w:eastAsia="Times New Roman" w:cs="Times New Roman"/>
                <w:color w:val="1F1F1F"/>
                <w:sz w:val="24"/>
                <w:szCs w:val="24"/>
              </w:rPr>
            </w:pPr>
          </w:p>
          <w:p w14:paraId="028A286D">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Technical: Design and code submission forms; Implement Firestore schema for metadata (Title, Year, Director, Synopsis, Category).</w:t>
            </w:r>
          </w:p>
          <w:p w14:paraId="093D9679">
            <w:pPr>
              <w:spacing w:after="0" w:line="240" w:lineRule="auto"/>
              <w:rPr>
                <w:rFonts w:ascii="Times New Roman" w:hAnsi="Times New Roman" w:eastAsia="Times New Roman" w:cs="Times New Roman"/>
                <w:color w:val="1F1F1F"/>
                <w:sz w:val="24"/>
                <w:szCs w:val="24"/>
              </w:rPr>
            </w:pPr>
          </w:p>
          <w:p w14:paraId="1AC24E45">
            <w:pPr>
              <w:spacing w:after="0" w:line="240" w:lineRule="auto"/>
              <w:rPr>
                <w:rFonts w:ascii="Times New Roman" w:hAnsi="Times New Roman" w:eastAsia="Times New Roman" w:cs="Times New Roman"/>
                <w:color w:val="1F1F1F"/>
                <w:sz w:val="24"/>
                <w:szCs w:val="24"/>
              </w:rPr>
            </w:pPr>
          </w:p>
        </w:tc>
        <w:tc>
          <w:tcPr>
            <w:tcW w:w="2263" w:type="dxa"/>
            <w:tcBorders>
              <w:top w:val="single" w:color="DDDDDD" w:sz="4" w:space="0"/>
              <w:left w:val="single" w:color="DDDDDD" w:sz="4" w:space="0"/>
              <w:bottom w:val="single" w:color="DDDDDD" w:sz="4" w:space="0"/>
              <w:right w:val="single" w:color="DDDDDD" w:sz="4" w:space="0"/>
            </w:tcBorders>
            <w:vAlign w:val="center"/>
          </w:tcPr>
          <w:p w14:paraId="2B415AEA">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Completed survey responses and interview transcripts.</w:t>
            </w:r>
          </w:p>
          <w:p w14:paraId="054993E6">
            <w:pPr>
              <w:spacing w:after="0" w:line="240" w:lineRule="auto"/>
              <w:rPr>
                <w:rFonts w:ascii="Times New Roman" w:hAnsi="Times New Roman" w:eastAsia="Times New Roman" w:cs="Times New Roman"/>
                <w:color w:val="1F1F1F"/>
                <w:sz w:val="24"/>
                <w:szCs w:val="24"/>
              </w:rPr>
            </w:pPr>
          </w:p>
          <w:p w14:paraId="72BB81F5">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xml:space="preserve">Submission module prototype; Data entry validation in </w:t>
            </w:r>
            <w:r>
              <w:rPr>
                <w:rFonts w:ascii="Times New Roman" w:hAnsi="Times New Roman" w:eastAsia="Times New Roman" w:cs="Times New Roman"/>
                <w:bCs/>
                <w:color w:val="1F1F1F"/>
                <w:sz w:val="24"/>
                <w:szCs w:val="24"/>
              </w:rPr>
              <w:t>Firestore</w:t>
            </w:r>
            <w:r>
              <w:rPr>
                <w:rFonts w:ascii="Times New Roman" w:hAnsi="Times New Roman" w:eastAsia="Times New Roman" w:cs="Times New Roman"/>
                <w:color w:val="1F1F1F"/>
                <w:sz w:val="24"/>
                <w:szCs w:val="24"/>
              </w:rPr>
              <w:t>.</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1E757A52">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1BE263A6">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57159232">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71967F86">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35A71F15">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67603594">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70F45D82">
            <w:pPr>
              <w:pStyle w:val="17"/>
              <w:spacing w:after="128"/>
              <w:textAlignment w:val="baseline"/>
            </w:pPr>
            <w:r>
              <w:rPr>
                <w:rFonts w:ascii="sans-serif" w:hAnsi="sans-serif" w:eastAsia="sans-serif" w:cs="sans-serif"/>
              </w:rPr>
              <w:t> </w:t>
            </w:r>
          </w:p>
        </w:tc>
        <w:tc>
          <w:tcPr>
            <w:tcW w:w="312" w:type="dxa"/>
            <w:tcBorders>
              <w:top w:val="single" w:color="DDDDDD" w:sz="4" w:space="0"/>
              <w:left w:val="single" w:color="DDDDDD" w:sz="4" w:space="0"/>
              <w:bottom w:val="single" w:color="DDDDDD" w:sz="4" w:space="0"/>
              <w:right w:val="single" w:color="DDDDDD" w:sz="4" w:space="0"/>
            </w:tcBorders>
          </w:tcPr>
          <w:p w14:paraId="7E071838">
            <w:pPr>
              <w:pStyle w:val="17"/>
              <w:spacing w:after="128"/>
              <w:textAlignment w:val="baseline"/>
              <w:rPr>
                <w:rFonts w:ascii="sans-serif" w:hAnsi="sans-serif" w:eastAsia="sans-serif" w:cs="sans-serif"/>
              </w:rPr>
            </w:pPr>
          </w:p>
        </w:tc>
      </w:tr>
      <w:tr w14:paraId="0FC594C7">
        <w:tblPrEx>
          <w:tblCellMar>
            <w:top w:w="0" w:type="dxa"/>
            <w:left w:w="0" w:type="dxa"/>
            <w:bottom w:w="0" w:type="dxa"/>
            <w:right w:w="0" w:type="dxa"/>
          </w:tblCellMar>
        </w:tblPrEx>
        <w:trPr>
          <w:trHeight w:val="3470" w:hRule="atLeast"/>
        </w:trPr>
        <w:tc>
          <w:tcPr>
            <w:tcW w:w="2822" w:type="dxa"/>
            <w:tcBorders>
              <w:top w:val="single" w:color="DDDDDD" w:sz="4" w:space="0"/>
              <w:left w:val="single" w:color="DDDDDD" w:sz="4" w:space="0"/>
              <w:bottom w:val="single" w:color="DDDDDD" w:sz="4" w:space="0"/>
              <w:right w:val="single" w:color="DDDDDD" w:sz="4" w:space="0"/>
            </w:tcBorders>
            <w:vAlign w:val="center"/>
          </w:tcPr>
          <w:p w14:paraId="4D12210D">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 xml:space="preserve">Objective </w:t>
            </w:r>
            <w:r>
              <w:rPr>
                <w:rFonts w:hint="default" w:ascii="Times New Roman" w:hAnsi="Times New Roman" w:eastAsia="Times New Roman" w:cs="Times New Roman"/>
                <w:b/>
                <w:bCs/>
                <w:color w:val="1F1F1F"/>
                <w:sz w:val="24"/>
                <w:szCs w:val="24"/>
                <w:lang w:val="en-US"/>
              </w:rPr>
              <w:t>2</w:t>
            </w:r>
            <w:r>
              <w:rPr>
                <w:rFonts w:ascii="Times New Roman" w:hAnsi="Times New Roman" w:eastAsia="Times New Roman" w:cs="Times New Roman"/>
                <w:b/>
                <w:bCs/>
                <w:color w:val="1F1F1F"/>
                <w:sz w:val="24"/>
                <w:szCs w:val="24"/>
              </w:rPr>
              <w:t xml:space="preserve">: </w:t>
            </w:r>
            <w:r>
              <w:rPr>
                <w:rFonts w:ascii="Times New Roman" w:hAnsi="Times New Roman" w:eastAsia="Times New Roman" w:cs="Times New Roman"/>
                <w:color w:val="1F1F1F"/>
                <w:sz w:val="24"/>
                <w:szCs w:val="24"/>
              </w:rPr>
              <w:t>Integrate AI video analysis for searchable transcripts and embeddings.</w:t>
            </w:r>
          </w:p>
        </w:tc>
        <w:tc>
          <w:tcPr>
            <w:tcW w:w="3118" w:type="dxa"/>
            <w:tcBorders>
              <w:top w:val="single" w:color="DDDDDD" w:sz="4" w:space="0"/>
              <w:left w:val="single" w:color="DDDDDD" w:sz="4" w:space="0"/>
              <w:bottom w:val="single" w:color="DDDDDD" w:sz="4" w:space="0"/>
              <w:right w:val="single" w:color="DDDDDD" w:sz="4" w:space="0"/>
            </w:tcBorders>
            <w:vAlign w:val="center"/>
          </w:tcPr>
          <w:p w14:paraId="4B8AD972">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AI Pipeline Setup: Connect Google Video Intelligence API and Vertex AI to automate the generation of transcripts, summaries, and keyword indexing.</w:t>
            </w:r>
          </w:p>
        </w:tc>
        <w:tc>
          <w:tcPr>
            <w:tcW w:w="2263" w:type="dxa"/>
            <w:tcBorders>
              <w:top w:val="single" w:color="DDDDDD" w:sz="4" w:space="0"/>
              <w:left w:val="single" w:color="DDDDDD" w:sz="4" w:space="0"/>
              <w:bottom w:val="single" w:color="DDDDDD" w:sz="4" w:space="0"/>
              <w:right w:val="single" w:color="DDDDDD" w:sz="4" w:space="0"/>
            </w:tcBorders>
            <w:vAlign w:val="center"/>
          </w:tcPr>
          <w:p w14:paraId="28C4CF92">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Successful API integration logs showing automated metadata generation.</w:t>
            </w:r>
          </w:p>
        </w:tc>
        <w:tc>
          <w:tcPr>
            <w:tcW w:w="300" w:type="dxa"/>
            <w:tcBorders>
              <w:top w:val="single" w:color="DDDDDD" w:sz="4" w:space="0"/>
              <w:left w:val="single" w:color="DDDDDD" w:sz="4" w:space="0"/>
              <w:bottom w:val="single" w:color="DDDDDD" w:sz="4" w:space="0"/>
              <w:right w:val="single" w:color="DDDDDD" w:sz="4" w:space="0"/>
            </w:tcBorders>
            <w:shd w:val="clear" w:color="auto" w:fill="FFFFFF" w:themeFill="background1"/>
            <w:vAlign w:val="center"/>
          </w:tcPr>
          <w:p w14:paraId="215BCFC2">
            <w:pPr>
              <w:pStyle w:val="17"/>
              <w:spacing w:before="100" w:after="100"/>
              <w:textAlignment w:val="baseline"/>
              <w:rPr>
                <w:rFonts w:ascii="sans-serif" w:hAnsi="sans-serif" w:eastAsia="sans-serif" w:cs="sans-serif"/>
              </w:rPr>
            </w:pP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5A3E1666">
            <w:pPr>
              <w:pStyle w:val="17"/>
              <w:spacing w:after="128"/>
              <w:textAlignment w:val="baseline"/>
              <w:rPr>
                <w:rFonts w:ascii="sans-serif" w:hAnsi="sans-serif" w:eastAsia="sans-serif" w:cs="sans-serif"/>
              </w:rPr>
            </w:pP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1AEE277D">
            <w:pPr>
              <w:pStyle w:val="17"/>
              <w:spacing w:after="128"/>
              <w:textAlignment w:val="baseline"/>
              <w:rPr>
                <w:rFonts w:ascii="sans-serif" w:hAnsi="sans-serif" w:eastAsia="sans-serif" w:cs="sans-serif"/>
              </w:rPr>
            </w:pP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3D6DB77C">
            <w:pPr>
              <w:pStyle w:val="17"/>
              <w:spacing w:after="128"/>
              <w:textAlignment w:val="baseline"/>
              <w:rPr>
                <w:rFonts w:ascii="sans-serif" w:hAnsi="sans-serif" w:eastAsia="sans-serif" w:cs="sans-serif"/>
              </w:rPr>
            </w:pPr>
          </w:p>
        </w:tc>
        <w:tc>
          <w:tcPr>
            <w:tcW w:w="300" w:type="dxa"/>
            <w:tcBorders>
              <w:top w:val="single" w:color="DDDDDD" w:sz="4" w:space="0"/>
              <w:left w:val="single" w:color="DDDDDD" w:sz="4" w:space="0"/>
              <w:bottom w:val="single" w:color="DDDDDD" w:sz="4" w:space="0"/>
              <w:right w:val="single" w:color="DDDDDD" w:sz="4" w:space="0"/>
            </w:tcBorders>
            <w:vAlign w:val="center"/>
          </w:tcPr>
          <w:p w14:paraId="3524D80E">
            <w:pPr>
              <w:pStyle w:val="17"/>
              <w:spacing w:after="128"/>
              <w:textAlignment w:val="baseline"/>
              <w:rPr>
                <w:rFonts w:ascii="sans-serif" w:hAnsi="sans-serif" w:eastAsia="sans-serif" w:cs="sans-serif"/>
              </w:rPr>
            </w:pPr>
          </w:p>
        </w:tc>
        <w:tc>
          <w:tcPr>
            <w:tcW w:w="300" w:type="dxa"/>
            <w:tcBorders>
              <w:top w:val="single" w:color="DDDDDD" w:sz="4" w:space="0"/>
              <w:left w:val="single" w:color="DDDDDD" w:sz="4" w:space="0"/>
              <w:bottom w:val="single" w:color="DDDDDD" w:sz="4" w:space="0"/>
              <w:right w:val="single" w:color="DDDDDD" w:sz="4" w:space="0"/>
            </w:tcBorders>
            <w:vAlign w:val="center"/>
          </w:tcPr>
          <w:p w14:paraId="618159EA">
            <w:pPr>
              <w:pStyle w:val="17"/>
              <w:spacing w:after="128"/>
              <w:textAlignment w:val="baseline"/>
              <w:rPr>
                <w:rFonts w:ascii="sans-serif" w:hAnsi="sans-serif" w:eastAsia="sans-serif" w:cs="sans-serif"/>
              </w:rPr>
            </w:pPr>
          </w:p>
        </w:tc>
        <w:tc>
          <w:tcPr>
            <w:tcW w:w="300" w:type="dxa"/>
            <w:tcBorders>
              <w:top w:val="single" w:color="DDDDDD" w:sz="4" w:space="0"/>
              <w:left w:val="single" w:color="DDDDDD" w:sz="4" w:space="0"/>
              <w:bottom w:val="single" w:color="DDDDDD" w:sz="4" w:space="0"/>
              <w:right w:val="single" w:color="DDDDDD" w:sz="4" w:space="0"/>
            </w:tcBorders>
            <w:vAlign w:val="center"/>
          </w:tcPr>
          <w:p w14:paraId="3A635521">
            <w:pPr>
              <w:pStyle w:val="17"/>
              <w:spacing w:after="128"/>
              <w:textAlignment w:val="baseline"/>
              <w:rPr>
                <w:rFonts w:ascii="sans-serif" w:hAnsi="sans-serif" w:eastAsia="sans-serif" w:cs="sans-serif"/>
              </w:rPr>
            </w:pPr>
          </w:p>
        </w:tc>
        <w:tc>
          <w:tcPr>
            <w:tcW w:w="312" w:type="dxa"/>
            <w:tcBorders>
              <w:top w:val="single" w:color="DDDDDD" w:sz="4" w:space="0"/>
              <w:left w:val="single" w:color="DDDDDD" w:sz="4" w:space="0"/>
              <w:bottom w:val="single" w:color="DDDDDD" w:sz="4" w:space="0"/>
              <w:right w:val="single" w:color="DDDDDD" w:sz="4" w:space="0"/>
            </w:tcBorders>
          </w:tcPr>
          <w:p w14:paraId="34AA73D2">
            <w:pPr>
              <w:pStyle w:val="17"/>
              <w:spacing w:after="128"/>
              <w:textAlignment w:val="baseline"/>
              <w:rPr>
                <w:rFonts w:ascii="sans-serif" w:hAnsi="sans-serif" w:eastAsia="sans-serif" w:cs="sans-serif"/>
              </w:rPr>
            </w:pPr>
          </w:p>
        </w:tc>
      </w:tr>
      <w:tr w14:paraId="5646143B">
        <w:tblPrEx>
          <w:tblCellMar>
            <w:top w:w="0" w:type="dxa"/>
            <w:left w:w="0" w:type="dxa"/>
            <w:bottom w:w="0" w:type="dxa"/>
            <w:right w:w="0" w:type="dxa"/>
          </w:tblCellMar>
        </w:tblPrEx>
        <w:trPr>
          <w:trHeight w:val="1664" w:hRule="atLeast"/>
        </w:trPr>
        <w:tc>
          <w:tcPr>
            <w:tcW w:w="2822" w:type="dxa"/>
            <w:tcBorders>
              <w:top w:val="single" w:color="DDDDDD" w:sz="4" w:space="0"/>
              <w:left w:val="single" w:color="DDDDDD" w:sz="4" w:space="0"/>
              <w:bottom w:val="single" w:color="DDDDDD" w:sz="4" w:space="0"/>
              <w:right w:val="single" w:color="DDDDDD" w:sz="4" w:space="0"/>
            </w:tcBorders>
            <w:vAlign w:val="center"/>
          </w:tcPr>
          <w:p w14:paraId="409E6525">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 xml:space="preserve">Objective </w:t>
            </w:r>
            <w:r>
              <w:rPr>
                <w:rFonts w:hint="default" w:ascii="Times New Roman" w:hAnsi="Times New Roman" w:eastAsia="Times New Roman" w:cs="Times New Roman"/>
                <w:b/>
                <w:bCs/>
                <w:color w:val="1F1F1F"/>
                <w:sz w:val="24"/>
                <w:szCs w:val="24"/>
                <w:lang w:val="en-US"/>
              </w:rPr>
              <w:t>3</w:t>
            </w:r>
            <w:r>
              <w:rPr>
                <w:rFonts w:ascii="Times New Roman" w:hAnsi="Times New Roman" w:eastAsia="Times New Roman" w:cs="Times New Roman"/>
                <w:b/>
                <w:bCs/>
                <w:color w:val="1F1F1F"/>
                <w:sz w:val="24"/>
                <w:szCs w:val="24"/>
              </w:rPr>
              <w:t xml:space="preserve">: </w:t>
            </w:r>
            <w:r>
              <w:rPr>
                <w:rFonts w:ascii="Times New Roman" w:hAnsi="Times New Roman" w:eastAsia="Times New Roman" w:cs="Times New Roman"/>
                <w:color w:val="1F1F1F"/>
                <w:sz w:val="24"/>
                <w:szCs w:val="24"/>
              </w:rPr>
              <w:t>Develop a semantic search and CBVR module.</w:t>
            </w:r>
          </w:p>
        </w:tc>
        <w:tc>
          <w:tcPr>
            <w:tcW w:w="3118" w:type="dxa"/>
            <w:tcBorders>
              <w:top w:val="single" w:color="DDDDDD" w:sz="4" w:space="0"/>
              <w:left w:val="single" w:color="DDDDDD" w:sz="4" w:space="0"/>
              <w:bottom w:val="single" w:color="DDDDDD" w:sz="4" w:space="0"/>
              <w:right w:val="single" w:color="DDDDDD" w:sz="4" w:space="0"/>
            </w:tcBorders>
            <w:vAlign w:val="center"/>
          </w:tcPr>
          <w:p w14:paraId="179B0713">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Semantic Engine Development: Implement Firestore Vector Search and similarity matching algorithms to enable natural language and conceptual queries.</w:t>
            </w:r>
          </w:p>
        </w:tc>
        <w:tc>
          <w:tcPr>
            <w:tcW w:w="2263" w:type="dxa"/>
            <w:tcBorders>
              <w:top w:val="single" w:color="DDDDDD" w:sz="4" w:space="0"/>
              <w:left w:val="single" w:color="DDDDDD" w:sz="4" w:space="0"/>
              <w:bottom w:val="single" w:color="DDDDDD" w:sz="4" w:space="0"/>
              <w:right w:val="single" w:color="DDDDDD" w:sz="4" w:space="0"/>
            </w:tcBorders>
            <w:vAlign w:val="center"/>
          </w:tcPr>
          <w:p w14:paraId="316B1415">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Searchable mobile gallery; retrieval based on narration and thematic meaning.</w:t>
            </w:r>
          </w:p>
        </w:tc>
        <w:tc>
          <w:tcPr>
            <w:tcW w:w="300" w:type="dxa"/>
            <w:tcBorders>
              <w:top w:val="single" w:color="DDDDDD" w:sz="4" w:space="0"/>
              <w:left w:val="single" w:color="DDDDDD" w:sz="4" w:space="0"/>
              <w:bottom w:val="single" w:color="DDDDDD" w:sz="4" w:space="0"/>
              <w:right w:val="single" w:color="DDDDDD" w:sz="4" w:space="0"/>
            </w:tcBorders>
            <w:vAlign w:val="center"/>
          </w:tcPr>
          <w:p w14:paraId="73EE3B99">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FFFFF" w:themeFill="background1"/>
            <w:vAlign w:val="center"/>
          </w:tcPr>
          <w:p w14:paraId="157151D9">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FFFFF" w:themeFill="background1"/>
            <w:vAlign w:val="center"/>
          </w:tcPr>
          <w:p w14:paraId="375DAFA6">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20284787">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444CBFD0">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4F676A20">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4D5F261D">
            <w:pPr>
              <w:pStyle w:val="17"/>
              <w:spacing w:after="128"/>
              <w:textAlignment w:val="baseline"/>
            </w:pPr>
            <w:r>
              <w:rPr>
                <w:rFonts w:ascii="sans-serif" w:hAnsi="sans-serif" w:eastAsia="sans-serif" w:cs="sans-serif"/>
              </w:rPr>
              <w:t> </w:t>
            </w:r>
          </w:p>
        </w:tc>
        <w:tc>
          <w:tcPr>
            <w:tcW w:w="312" w:type="dxa"/>
            <w:tcBorders>
              <w:top w:val="single" w:color="DDDDDD" w:sz="4" w:space="0"/>
              <w:left w:val="single" w:color="DDDDDD" w:sz="4" w:space="0"/>
              <w:bottom w:val="single" w:color="DDDDDD" w:sz="4" w:space="0"/>
              <w:right w:val="single" w:color="DDDDDD" w:sz="4" w:space="0"/>
            </w:tcBorders>
          </w:tcPr>
          <w:p w14:paraId="0A18EF6D">
            <w:pPr>
              <w:pStyle w:val="17"/>
              <w:spacing w:after="128"/>
              <w:textAlignment w:val="baseline"/>
              <w:rPr>
                <w:rFonts w:ascii="sans-serif" w:hAnsi="sans-serif" w:eastAsia="sans-serif" w:cs="sans-serif"/>
              </w:rPr>
            </w:pPr>
          </w:p>
        </w:tc>
      </w:tr>
      <w:tr w14:paraId="6DB56E4D">
        <w:tblPrEx>
          <w:tblCellMar>
            <w:top w:w="0" w:type="dxa"/>
            <w:left w:w="0" w:type="dxa"/>
            <w:bottom w:w="0" w:type="dxa"/>
            <w:right w:w="0" w:type="dxa"/>
          </w:tblCellMar>
        </w:tblPrEx>
        <w:trPr>
          <w:trHeight w:val="1790" w:hRule="atLeast"/>
        </w:trPr>
        <w:tc>
          <w:tcPr>
            <w:tcW w:w="2822" w:type="dxa"/>
            <w:tcBorders>
              <w:top w:val="single" w:color="DDDDDD" w:sz="4" w:space="0"/>
              <w:left w:val="single" w:color="DDDDDD" w:sz="4" w:space="0"/>
              <w:bottom w:val="single" w:color="DDDDDD" w:sz="4" w:space="0"/>
              <w:right w:val="single" w:color="DDDDDD" w:sz="4" w:space="0"/>
            </w:tcBorders>
            <w:vAlign w:val="center"/>
          </w:tcPr>
          <w:p w14:paraId="5982F246">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 xml:space="preserve">Objective </w:t>
            </w:r>
            <w:r>
              <w:rPr>
                <w:rFonts w:hint="default" w:ascii="Times New Roman" w:hAnsi="Times New Roman" w:eastAsia="Times New Roman" w:cs="Times New Roman"/>
                <w:b/>
                <w:bCs/>
                <w:color w:val="1F1F1F"/>
                <w:sz w:val="24"/>
                <w:szCs w:val="24"/>
                <w:lang w:val="en-US"/>
              </w:rPr>
              <w:t>4</w:t>
            </w:r>
            <w:r>
              <w:rPr>
                <w:rFonts w:ascii="Times New Roman" w:hAnsi="Times New Roman" w:eastAsia="Times New Roman" w:cs="Times New Roman"/>
                <w:b/>
                <w:bCs/>
                <w:color w:val="1F1F1F"/>
                <w:sz w:val="24"/>
                <w:szCs w:val="24"/>
              </w:rPr>
              <w:t>:</w:t>
            </w:r>
            <w:r>
              <w:rPr>
                <w:rFonts w:ascii="Times New Roman" w:hAnsi="Times New Roman" w:eastAsia="Times New Roman" w:cs="Times New Roman"/>
                <w:color w:val="1F1F1F"/>
                <w:sz w:val="24"/>
                <w:szCs w:val="24"/>
              </w:rPr>
              <w:t xml:space="preserve"> Create a content management and moderation dashboard for DEVCOM officers.</w:t>
            </w:r>
          </w:p>
        </w:tc>
        <w:tc>
          <w:tcPr>
            <w:tcW w:w="3118" w:type="dxa"/>
            <w:tcBorders>
              <w:top w:val="single" w:color="DDDDDD" w:sz="4" w:space="0"/>
              <w:left w:val="single" w:color="DDDDDD" w:sz="4" w:space="0"/>
              <w:bottom w:val="single" w:color="DDDDDD" w:sz="4" w:space="0"/>
              <w:right w:val="single" w:color="DDDDDD" w:sz="4" w:space="0"/>
            </w:tcBorders>
            <w:vAlign w:val="center"/>
          </w:tcPr>
          <w:p w14:paraId="0F955547">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Develop the Moderation Dashboard; Build the "Approve/Reject/Edit" workflow for submitted documentaries.</w:t>
            </w:r>
          </w:p>
        </w:tc>
        <w:tc>
          <w:tcPr>
            <w:tcW w:w="2263" w:type="dxa"/>
            <w:tcBorders>
              <w:top w:val="single" w:color="DDDDDD" w:sz="4" w:space="0"/>
              <w:left w:val="single" w:color="DDDDDD" w:sz="4" w:space="0"/>
              <w:bottom w:val="single" w:color="DDDDDD" w:sz="4" w:space="0"/>
              <w:right w:val="single" w:color="DDDDDD" w:sz="4" w:space="0"/>
            </w:tcBorders>
            <w:vAlign w:val="center"/>
          </w:tcPr>
          <w:p w14:paraId="6EF54335">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Active Admin/Officer dashboard with moderation controls.</w:t>
            </w:r>
          </w:p>
        </w:tc>
        <w:tc>
          <w:tcPr>
            <w:tcW w:w="300" w:type="dxa"/>
            <w:tcBorders>
              <w:top w:val="single" w:color="DDDDDD" w:sz="4" w:space="0"/>
              <w:left w:val="single" w:color="DDDDDD" w:sz="4" w:space="0"/>
              <w:bottom w:val="single" w:color="DDDDDD" w:sz="4" w:space="0"/>
              <w:right w:val="single" w:color="DDDDDD" w:sz="4" w:space="0"/>
            </w:tcBorders>
            <w:vAlign w:val="center"/>
          </w:tcPr>
          <w:p w14:paraId="52202DDB">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378C1016">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1351FA8E">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FFFFF" w:themeFill="background1"/>
            <w:vAlign w:val="center"/>
          </w:tcPr>
          <w:p w14:paraId="4B05D5E7">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39EBE139">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292C2D89">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1EDBB4D7">
            <w:pPr>
              <w:pStyle w:val="17"/>
              <w:spacing w:after="128"/>
              <w:textAlignment w:val="baseline"/>
            </w:pPr>
            <w:r>
              <w:rPr>
                <w:rFonts w:ascii="Arial" w:hAnsi="Arial" w:cs="Arial"/>
              </w:rPr>
              <w:t> </w:t>
            </w:r>
          </w:p>
        </w:tc>
        <w:tc>
          <w:tcPr>
            <w:tcW w:w="312" w:type="dxa"/>
            <w:tcBorders>
              <w:top w:val="single" w:color="DDDDDD" w:sz="4" w:space="0"/>
              <w:left w:val="single" w:color="DDDDDD" w:sz="4" w:space="0"/>
              <w:bottom w:val="single" w:color="DDDDDD" w:sz="4" w:space="0"/>
              <w:right w:val="single" w:color="DDDDDD" w:sz="4" w:space="0"/>
            </w:tcBorders>
          </w:tcPr>
          <w:p w14:paraId="6A5D5D8E">
            <w:pPr>
              <w:pStyle w:val="17"/>
              <w:spacing w:after="128"/>
              <w:textAlignment w:val="baseline"/>
              <w:rPr>
                <w:rFonts w:ascii="Arial" w:hAnsi="Arial" w:cs="Arial"/>
              </w:rPr>
            </w:pPr>
          </w:p>
        </w:tc>
      </w:tr>
      <w:tr w14:paraId="332EA966">
        <w:tblPrEx>
          <w:tblCellMar>
            <w:top w:w="0" w:type="dxa"/>
            <w:left w:w="0" w:type="dxa"/>
            <w:bottom w:w="0" w:type="dxa"/>
            <w:right w:w="0" w:type="dxa"/>
          </w:tblCellMar>
        </w:tblPrEx>
        <w:trPr>
          <w:trHeight w:val="1880" w:hRule="atLeast"/>
        </w:trPr>
        <w:tc>
          <w:tcPr>
            <w:tcW w:w="2822" w:type="dxa"/>
            <w:tcBorders>
              <w:top w:val="single" w:color="DDDDDD" w:sz="4" w:space="0"/>
              <w:left w:val="single" w:color="DDDDDD" w:sz="4" w:space="0"/>
              <w:bottom w:val="single" w:color="DDDDDD" w:sz="4" w:space="0"/>
              <w:right w:val="single" w:color="DDDDDD" w:sz="4" w:space="0"/>
            </w:tcBorders>
            <w:vAlign w:val="center"/>
          </w:tcPr>
          <w:p w14:paraId="645563C6">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 xml:space="preserve">Objective </w:t>
            </w:r>
            <w:r>
              <w:rPr>
                <w:rFonts w:hint="default" w:ascii="Times New Roman" w:hAnsi="Times New Roman" w:eastAsia="Times New Roman" w:cs="Times New Roman"/>
                <w:b/>
                <w:bCs/>
                <w:color w:val="1F1F1F"/>
                <w:sz w:val="24"/>
                <w:szCs w:val="24"/>
                <w:lang w:val="en-US"/>
              </w:rPr>
              <w:t>5</w:t>
            </w:r>
            <w:r>
              <w:rPr>
                <w:rFonts w:ascii="Times New Roman" w:hAnsi="Times New Roman" w:eastAsia="Times New Roman" w:cs="Times New Roman"/>
                <w:b/>
                <w:bCs/>
                <w:color w:val="1F1F1F"/>
                <w:sz w:val="24"/>
                <w:szCs w:val="24"/>
              </w:rPr>
              <w:t>:</w:t>
            </w:r>
            <w:r>
              <w:rPr>
                <w:rFonts w:ascii="Times New Roman" w:hAnsi="Times New Roman" w:eastAsia="Times New Roman" w:cs="Times New Roman"/>
                <w:color w:val="1F1F1F"/>
                <w:sz w:val="24"/>
                <w:szCs w:val="24"/>
              </w:rPr>
              <w:t xml:space="preserve"> Integrate content protection features.</w:t>
            </w:r>
          </w:p>
        </w:tc>
        <w:tc>
          <w:tcPr>
            <w:tcW w:w="3118" w:type="dxa"/>
            <w:tcBorders>
              <w:top w:val="single" w:color="DDDDDD" w:sz="4" w:space="0"/>
              <w:left w:val="single" w:color="DDDDDD" w:sz="4" w:space="0"/>
              <w:bottom w:val="single" w:color="DDDDDD" w:sz="4" w:space="0"/>
              <w:right w:val="single" w:color="DDDDDD" w:sz="4" w:space="0"/>
            </w:tcBorders>
            <w:vAlign w:val="center"/>
          </w:tcPr>
          <w:p w14:paraId="3AE1A109">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 xml:space="preserve">Implement </w:t>
            </w:r>
            <w:r>
              <w:rPr>
                <w:rFonts w:ascii="Times New Roman" w:hAnsi="Times New Roman" w:eastAsia="Times New Roman" w:cs="Times New Roman"/>
                <w:bCs/>
                <w:color w:val="1F1F1F"/>
                <w:sz w:val="24"/>
                <w:szCs w:val="24"/>
              </w:rPr>
              <w:t>FLAG_SECURE</w:t>
            </w:r>
            <w:r>
              <w:rPr>
                <w:rFonts w:ascii="Times New Roman" w:hAnsi="Times New Roman" w:eastAsia="Times New Roman" w:cs="Times New Roman"/>
                <w:color w:val="1F1F1F"/>
                <w:sz w:val="24"/>
                <w:szCs w:val="24"/>
              </w:rPr>
              <w:t xml:space="preserve"> (Android) and Finalize User Agreement module.</w:t>
            </w:r>
          </w:p>
        </w:tc>
        <w:tc>
          <w:tcPr>
            <w:tcW w:w="2263" w:type="dxa"/>
            <w:tcBorders>
              <w:top w:val="single" w:color="DDDDDD" w:sz="4" w:space="0"/>
              <w:left w:val="single" w:color="DDDDDD" w:sz="4" w:space="0"/>
              <w:bottom w:val="single" w:color="DDDDDD" w:sz="4" w:space="0"/>
              <w:right w:val="single" w:color="DDDDDD" w:sz="4" w:space="0"/>
            </w:tcBorders>
            <w:vAlign w:val="center"/>
          </w:tcPr>
          <w:p w14:paraId="7CEBA4A4">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Screen-capture protection and Signed User Agreement log.</w:t>
            </w:r>
          </w:p>
        </w:tc>
        <w:tc>
          <w:tcPr>
            <w:tcW w:w="300" w:type="dxa"/>
            <w:tcBorders>
              <w:top w:val="single" w:color="DDDDDD" w:sz="4" w:space="0"/>
              <w:left w:val="single" w:color="DDDDDD" w:sz="4" w:space="0"/>
              <w:bottom w:val="single" w:color="DDDDDD" w:sz="4" w:space="0"/>
              <w:right w:val="single" w:color="DDDDDD" w:sz="4" w:space="0"/>
            </w:tcBorders>
            <w:vAlign w:val="center"/>
          </w:tcPr>
          <w:p w14:paraId="771827A1">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74B535A9">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66D87D11">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1A42EBF1">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FFFFF" w:themeFill="background1"/>
            <w:vAlign w:val="center"/>
          </w:tcPr>
          <w:p w14:paraId="14622C35">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1546B4D0">
            <w:pPr>
              <w:pStyle w:val="17"/>
              <w:spacing w:after="128"/>
              <w:textAlignment w:val="baseline"/>
            </w:pPr>
            <w:r>
              <w:rPr>
                <w:rFonts w:ascii="Arial" w:hAnsi="Arial" w:cs="Arial"/>
              </w:rPr>
              <w:t> </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549354F2">
            <w:pPr>
              <w:pStyle w:val="17"/>
              <w:spacing w:after="128"/>
              <w:textAlignment w:val="baseline"/>
            </w:pPr>
            <w:r>
              <w:rPr>
                <w:rFonts w:ascii="Arial" w:hAnsi="Arial" w:cs="Arial"/>
              </w:rPr>
              <w:t> </w:t>
            </w:r>
          </w:p>
        </w:tc>
        <w:tc>
          <w:tcPr>
            <w:tcW w:w="312" w:type="dxa"/>
            <w:tcBorders>
              <w:top w:val="single" w:color="DDDDDD" w:sz="4" w:space="0"/>
              <w:left w:val="single" w:color="DDDDDD" w:sz="4" w:space="0"/>
              <w:bottom w:val="single" w:color="DDDDDD" w:sz="4" w:space="0"/>
              <w:right w:val="single" w:color="DDDDDD" w:sz="4" w:space="0"/>
            </w:tcBorders>
            <w:shd w:val="clear" w:color="auto" w:fill="FFFFFF" w:themeFill="background1"/>
          </w:tcPr>
          <w:p w14:paraId="5FE97505">
            <w:pPr>
              <w:pStyle w:val="17"/>
              <w:spacing w:after="128"/>
              <w:textAlignment w:val="baseline"/>
              <w:rPr>
                <w:rFonts w:ascii="Arial" w:hAnsi="Arial" w:cs="Arial"/>
              </w:rPr>
            </w:pPr>
          </w:p>
        </w:tc>
      </w:tr>
      <w:tr w14:paraId="40CCD538">
        <w:tblPrEx>
          <w:tblCellMar>
            <w:top w:w="0" w:type="dxa"/>
            <w:left w:w="0" w:type="dxa"/>
            <w:bottom w:w="0" w:type="dxa"/>
            <w:right w:w="0" w:type="dxa"/>
          </w:tblCellMar>
        </w:tblPrEx>
        <w:trPr>
          <w:trHeight w:val="1871" w:hRule="atLeast"/>
        </w:trPr>
        <w:tc>
          <w:tcPr>
            <w:tcW w:w="2822" w:type="dxa"/>
            <w:tcBorders>
              <w:top w:val="single" w:color="DDDDDD" w:sz="4" w:space="0"/>
              <w:left w:val="single" w:color="DDDDDD" w:sz="4" w:space="0"/>
              <w:bottom w:val="single" w:color="DDDDDD" w:sz="4" w:space="0"/>
              <w:right w:val="single" w:color="DDDDDD" w:sz="4" w:space="0"/>
            </w:tcBorders>
            <w:vAlign w:val="center"/>
          </w:tcPr>
          <w:p w14:paraId="20256D99">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Pr>
              <w:t xml:space="preserve">Objective </w:t>
            </w:r>
            <w:r>
              <w:rPr>
                <w:rFonts w:hint="default" w:ascii="Times New Roman" w:hAnsi="Times New Roman" w:eastAsia="Times New Roman" w:cs="Times New Roman"/>
                <w:b/>
                <w:bCs/>
                <w:color w:val="1F1F1F"/>
                <w:sz w:val="24"/>
                <w:szCs w:val="24"/>
                <w:lang w:val="en-US"/>
              </w:rPr>
              <w:t>6</w:t>
            </w:r>
            <w:r>
              <w:rPr>
                <w:rFonts w:ascii="Times New Roman" w:hAnsi="Times New Roman" w:eastAsia="Times New Roman" w:cs="Times New Roman"/>
                <w:b/>
                <w:bCs/>
                <w:color w:val="1F1F1F"/>
                <w:sz w:val="24"/>
                <w:szCs w:val="24"/>
              </w:rPr>
              <w:t>:</w:t>
            </w:r>
            <w:r>
              <w:rPr>
                <w:rFonts w:ascii="Times New Roman" w:hAnsi="Times New Roman" w:eastAsia="Times New Roman" w:cs="Times New Roman"/>
                <w:color w:val="1F1F1F"/>
                <w:sz w:val="24"/>
                <w:szCs w:val="24"/>
              </w:rPr>
              <w:t xml:space="preserve"> Evaluate the application and perform finalization.</w:t>
            </w:r>
          </w:p>
        </w:tc>
        <w:tc>
          <w:tcPr>
            <w:tcW w:w="3118" w:type="dxa"/>
            <w:tcBorders>
              <w:top w:val="single" w:color="DDDDDD" w:sz="4" w:space="0"/>
              <w:left w:val="single" w:color="DDDDDD" w:sz="4" w:space="0"/>
              <w:bottom w:val="single" w:color="DDDDDD" w:sz="4" w:space="0"/>
              <w:right w:val="single" w:color="DDDDDD" w:sz="4" w:space="0"/>
            </w:tcBorders>
            <w:vAlign w:val="center"/>
          </w:tcPr>
          <w:p w14:paraId="56EA3B41">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Conduct UAT and usability surveys and Complete technical documentation and Turnover.</w:t>
            </w:r>
          </w:p>
        </w:tc>
        <w:tc>
          <w:tcPr>
            <w:tcW w:w="2263" w:type="dxa"/>
            <w:tcBorders>
              <w:top w:val="single" w:color="DDDDDD" w:sz="4" w:space="0"/>
              <w:left w:val="single" w:color="DDDDDD" w:sz="4" w:space="0"/>
              <w:bottom w:val="single" w:color="DDDDDD" w:sz="4" w:space="0"/>
              <w:right w:val="single" w:color="DDDDDD" w:sz="4" w:space="0"/>
            </w:tcBorders>
            <w:vAlign w:val="center"/>
          </w:tcPr>
          <w:p w14:paraId="72F0210D">
            <w:pPr>
              <w:spacing w:after="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t>Evaluation Report and Signed turnover receipt.</w:t>
            </w:r>
          </w:p>
        </w:tc>
        <w:tc>
          <w:tcPr>
            <w:tcW w:w="300" w:type="dxa"/>
            <w:tcBorders>
              <w:top w:val="single" w:color="DDDDDD" w:sz="4" w:space="0"/>
              <w:left w:val="single" w:color="DDDDDD" w:sz="4" w:space="0"/>
              <w:bottom w:val="single" w:color="DDDDDD" w:sz="4" w:space="0"/>
              <w:right w:val="single" w:color="DDDDDD" w:sz="4" w:space="0"/>
            </w:tcBorders>
            <w:vAlign w:val="center"/>
          </w:tcPr>
          <w:p w14:paraId="0130D3E8">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493E1936">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6E5A13B8">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10B35CC1">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vAlign w:val="center"/>
          </w:tcPr>
          <w:p w14:paraId="4BFA0299">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shd w:val="clear" w:color="auto" w:fill="FFFFFF" w:themeFill="background1"/>
            <w:vAlign w:val="center"/>
          </w:tcPr>
          <w:p w14:paraId="5142810C">
            <w:pPr>
              <w:pStyle w:val="17"/>
              <w:spacing w:after="128"/>
              <w:textAlignment w:val="baseline"/>
            </w:pPr>
            <w:r>
              <w:rPr>
                <w:rFonts w:ascii="sans-serif" w:hAnsi="sans-serif" w:eastAsia="sans-serif" w:cs="sans-serif"/>
              </w:rPr>
              <w:t> </w:t>
            </w:r>
          </w:p>
        </w:tc>
        <w:tc>
          <w:tcPr>
            <w:tcW w:w="300" w:type="dxa"/>
            <w:tcBorders>
              <w:top w:val="single" w:color="DDDDDD" w:sz="4" w:space="0"/>
              <w:left w:val="single" w:color="DDDDDD" w:sz="4" w:space="0"/>
              <w:bottom w:val="single" w:color="DDDDDD" w:sz="4" w:space="0"/>
              <w:right w:val="single" w:color="DDDDDD" w:sz="4" w:space="0"/>
            </w:tcBorders>
            <w:shd w:val="clear" w:color="auto" w:fill="548DD4" w:themeFill="text2" w:themeFillTint="99"/>
            <w:vAlign w:val="center"/>
          </w:tcPr>
          <w:p w14:paraId="7F5D7E8D">
            <w:pPr>
              <w:pStyle w:val="17"/>
              <w:spacing w:after="128"/>
              <w:textAlignment w:val="baseline"/>
            </w:pPr>
            <w:r>
              <w:rPr>
                <w:rFonts w:ascii="sans-serif" w:hAnsi="sans-serif" w:eastAsia="sans-serif" w:cs="sans-serif"/>
              </w:rPr>
              <w:t> </w:t>
            </w:r>
          </w:p>
        </w:tc>
        <w:tc>
          <w:tcPr>
            <w:tcW w:w="312" w:type="dxa"/>
            <w:tcBorders>
              <w:top w:val="single" w:color="DDDDDD" w:sz="4" w:space="0"/>
              <w:left w:val="single" w:color="DDDDDD" w:sz="4" w:space="0"/>
              <w:bottom w:val="single" w:color="DDDDDD" w:sz="4" w:space="0"/>
              <w:right w:val="single" w:color="DDDDDD" w:sz="4" w:space="0"/>
            </w:tcBorders>
            <w:shd w:val="clear" w:color="auto" w:fill="548DD4" w:themeFill="text2" w:themeFillTint="99"/>
          </w:tcPr>
          <w:p w14:paraId="6BDE89A5">
            <w:pPr>
              <w:pStyle w:val="17"/>
              <w:spacing w:after="128"/>
              <w:textAlignment w:val="baseline"/>
              <w:rPr>
                <w:rFonts w:ascii="sans-serif" w:hAnsi="sans-serif" w:eastAsia="sans-serif" w:cs="sans-serif"/>
              </w:rPr>
            </w:pPr>
          </w:p>
        </w:tc>
      </w:tr>
    </w:tbl>
    <w:p w14:paraId="0D1C91B3">
      <w:pPr>
        <w:spacing w:after="0" w:line="240" w:lineRule="auto"/>
        <w:rPr>
          <w:rFonts w:ascii="Times New Roman" w:hAnsi="Times New Roman" w:eastAsia="Times New Roman" w:cs="Times New Roman"/>
          <w:b/>
          <w:bCs/>
          <w:sz w:val="24"/>
          <w:szCs w:val="24"/>
          <w:vertAlign w:val="subscript"/>
        </w:rPr>
      </w:pPr>
      <w:r>
        <w:rPr>
          <w:rFonts w:ascii="Times New Roman" w:hAnsi="Times New Roman" w:eastAsia="Times New Roman" w:cs="Times New Roman"/>
          <w:b/>
          <w:bCs/>
          <w:sz w:val="24"/>
          <w:szCs w:val="24"/>
          <w:vertAlign w:val="subscript"/>
        </w:rPr>
        <w:softHyphen/>
      </w:r>
    </w:p>
    <w:p w14:paraId="1C0E3707">
      <w:pPr>
        <w:pStyle w:val="17"/>
        <w:spacing w:after="128"/>
        <w:textAlignment w:val="baseline"/>
      </w:pPr>
    </w:p>
    <w:sectPr>
      <w:headerReference r:id="rId5" w:type="default"/>
      <w:footerReference r:id="rId6" w:type="default"/>
      <w:pgSz w:w="12240" w:h="15840"/>
      <w:pgMar w:top="540" w:right="907" w:bottom="450" w:left="720" w:header="272" w:footer="187"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D4698F9-BA13-4D56-AEFB-B6494C5D5658}"/>
  </w:font>
  <w:font w:name="Arial">
    <w:panose1 w:val="020B0604020202020204"/>
    <w:charset w:val="00"/>
    <w:family w:val="swiss"/>
    <w:pitch w:val="default"/>
    <w:sig w:usb0="E0002EFF" w:usb1="C000785B" w:usb2="00000009" w:usb3="00000000" w:csb0="400001FF" w:csb1="FFFF0000"/>
    <w:embedRegular r:id="rId2" w:fontKey="{7121BC25-2DDC-43F3-A2BD-3B0EC7B134A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2D93F54-FB0C-42B5-B07A-96968A86553D}"/>
  </w:font>
  <w:font w:name="Wingdings">
    <w:panose1 w:val="05000000000000000000"/>
    <w:charset w:val="02"/>
    <w:family w:val="auto"/>
    <w:pitch w:val="default"/>
    <w:sig w:usb0="00000000" w:usb1="00000000" w:usb2="00000000" w:usb3="00000000" w:csb0="80000000" w:csb1="00000000"/>
    <w:embedRegular r:id="rId4" w:fontKey="{4A97E171-3C61-443E-BCC2-FC578195C9BA}"/>
  </w:font>
  <w:font w:name="Calibri">
    <w:panose1 w:val="020F0502020204030204"/>
    <w:charset w:val="00"/>
    <w:family w:val="swiss"/>
    <w:pitch w:val="default"/>
    <w:sig w:usb0="E4002EFF" w:usb1="C000247B" w:usb2="00000009" w:usb3="00000000" w:csb0="200001FF" w:csb1="00000000"/>
    <w:embedRegular r:id="rId5" w:fontKey="{65CF541D-A1AE-44BD-AFF6-3F42C3B5AA86}"/>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embedRegular r:id="rId6" w:fontKey="{7A381753-9003-4210-9821-2315884D485E}"/>
  </w:font>
  <w:font w:name="Georgia">
    <w:panose1 w:val="02040502050405020303"/>
    <w:charset w:val="00"/>
    <w:family w:val="roman"/>
    <w:pitch w:val="default"/>
    <w:sig w:usb0="00000287" w:usb1="00000000" w:usb2="00000000" w:usb3="00000000" w:csb0="2000009F" w:csb1="00000000"/>
    <w:embedRegular r:id="rId7" w:fontKey="{6238C8DC-A770-4F54-B62A-EBD20CF9C3CB}"/>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8" w:fontKey="{77A4760D-3CA0-40DE-B044-384B0F533749}"/>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E0EB9EF3-F4EC-4D73-B6E2-40902794890B}"/>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autofit"/>
      <w:tblCellMar>
        <w:top w:w="0" w:type="dxa"/>
        <w:left w:w="108" w:type="dxa"/>
        <w:bottom w:w="0" w:type="dxa"/>
        <w:right w:w="108" w:type="dxa"/>
      </w:tblCellMar>
    </w:tblPr>
    <w:tblGrid>
      <w:gridCol w:w="3535"/>
      <w:gridCol w:w="3535"/>
      <w:gridCol w:w="3535"/>
    </w:tblGrid>
    <w:tr w14:paraId="5BA758CD">
      <w:tblPrEx>
        <w:tblCellMar>
          <w:top w:w="0" w:type="dxa"/>
          <w:left w:w="108" w:type="dxa"/>
          <w:bottom w:w="0" w:type="dxa"/>
          <w:right w:w="108" w:type="dxa"/>
        </w:tblCellMar>
      </w:tblPrEx>
      <w:trPr>
        <w:trHeight w:val="300" w:hRule="atLeast"/>
      </w:trPr>
      <w:tc>
        <w:tcPr>
          <w:tcW w:w="3535" w:type="dxa"/>
        </w:tcPr>
        <w:p w14:paraId="5AE35320">
          <w:pPr>
            <w:pStyle w:val="15"/>
            <w:ind w:left="-115"/>
            <w:rPr>
              <w:kern w:val="2"/>
            </w:rPr>
          </w:pPr>
        </w:p>
      </w:tc>
      <w:tc>
        <w:tcPr>
          <w:tcW w:w="3535" w:type="dxa"/>
        </w:tcPr>
        <w:p w14:paraId="5DF8E15E">
          <w:pPr>
            <w:pStyle w:val="15"/>
            <w:jc w:val="center"/>
            <w:rPr>
              <w:kern w:val="2"/>
            </w:rPr>
          </w:pPr>
        </w:p>
      </w:tc>
      <w:tc>
        <w:tcPr>
          <w:tcW w:w="3535" w:type="dxa"/>
        </w:tcPr>
        <w:p w14:paraId="2FEABED2">
          <w:pPr>
            <w:pStyle w:val="15"/>
            <w:ind w:right="-115"/>
            <w:jc w:val="right"/>
            <w:rPr>
              <w:kern w:val="2"/>
            </w:rPr>
          </w:pPr>
        </w:p>
      </w:tc>
    </w:tr>
  </w:tbl>
  <w:p w14:paraId="3E069A7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F3509">
    <w:r>
      <w:rPr>
        <w:lang w:val="en-US" w:eastAsia="en-US"/>
      </w:rPr>
      <w:drawing>
        <wp:anchor distT="0" distB="0" distL="0" distR="0" simplePos="0" relativeHeight="251660288" behindDoc="1" locked="0" layoutInCell="1" allowOverlap="1">
          <wp:simplePos x="0" y="0"/>
          <wp:positionH relativeFrom="column">
            <wp:posOffset>0</wp:posOffset>
          </wp:positionH>
          <wp:positionV relativeFrom="paragraph">
            <wp:posOffset>-635</wp:posOffset>
          </wp:positionV>
          <wp:extent cx="876300" cy="878205"/>
          <wp:effectExtent l="0" t="0" r="0" b="0"/>
          <wp:wrapNone/>
          <wp:docPr id="2075205789" name="image1.png"/>
          <wp:cNvGraphicFramePr/>
          <a:graphic xmlns:a="http://schemas.openxmlformats.org/drawingml/2006/main">
            <a:graphicData uri="http://schemas.openxmlformats.org/drawingml/2006/picture">
              <pic:pic xmlns:pic="http://schemas.openxmlformats.org/drawingml/2006/picture">
                <pic:nvPicPr>
                  <pic:cNvPr id="2075205789" name="image1.png"/>
                  <pic:cNvPicPr preferRelativeResize="0"/>
                </pic:nvPicPr>
                <pic:blipFill>
                  <a:blip r:embed="rId1"/>
                  <a:srcRect l="10737" t="11059" r="11217" b="10736"/>
                  <a:stretch>
                    <a:fillRect/>
                  </a:stretch>
                </pic:blipFill>
                <pic:spPr>
                  <a:xfrm>
                    <a:off x="0" y="0"/>
                    <a:ext cx="876300" cy="878100"/>
                  </a:xfrm>
                  <a:prstGeom prst="rect">
                    <a:avLst/>
                  </a:prstGeom>
                </pic:spPr>
              </pic:pic>
            </a:graphicData>
          </a:graphic>
        </wp:anchor>
      </w:drawing>
    </w:r>
  </w:p>
  <w:p w14:paraId="7A8275E7">
    <w:pPr>
      <w:tabs>
        <w:tab w:val="center" w:pos="4680"/>
        <w:tab w:val="right" w:pos="9360"/>
      </w:tabs>
      <w:spacing w:after="0" w:line="240" w:lineRule="auto"/>
      <w:rPr>
        <w:rFonts w:ascii="Arial" w:hAnsi="Arial" w:eastAsia="Arial" w:cs="Arial"/>
        <w:b/>
        <w:bCs/>
        <w:color w:val="000000"/>
        <w:sz w:val="24"/>
        <w:szCs w:val="24"/>
      </w:rPr>
    </w:pPr>
    <w:r>
      <w:rPr>
        <w:rFonts w:ascii="Times New Roman" w:hAnsi="Times New Roman" w:eastAsia="Times New Roman" w:cs="Times New Roman"/>
        <w:b/>
        <w:bCs/>
        <w:color w:val="000000"/>
        <w:sz w:val="18"/>
        <w:szCs w:val="18"/>
      </w:rPr>
      <w:t xml:space="preserve">                                     </w:t>
    </w:r>
    <w:r>
      <w:rPr>
        <w:rFonts w:ascii="Times New Roman" w:hAnsi="Times New Roman" w:eastAsia="Times New Roman" w:cs="Times New Roman"/>
        <w:b/>
        <w:bCs/>
        <w:color w:val="000000"/>
        <w:sz w:val="24"/>
        <w:szCs w:val="24"/>
      </w:rPr>
      <w:t xml:space="preserve"> </w:t>
    </w:r>
    <w:r>
      <w:rPr>
        <w:rFonts w:ascii="Arial" w:hAnsi="Arial" w:eastAsia="Arial" w:cs="Arial"/>
        <w:b/>
        <w:bCs/>
        <w:color w:val="000000"/>
        <w:sz w:val="24"/>
        <w:szCs w:val="24"/>
      </w:rPr>
      <w:t>Department of Computer Studies</w:t>
    </w:r>
  </w:p>
  <w:p w14:paraId="79F224BD">
    <w:pPr>
      <w:tabs>
        <w:tab w:val="center" w:pos="4680"/>
        <w:tab w:val="right" w:pos="9360"/>
      </w:tabs>
      <w:spacing w:after="0" w:line="240" w:lineRule="auto"/>
      <w:rPr>
        <w:rFonts w:ascii="Arial" w:hAnsi="Arial" w:eastAsia="Arial" w:cs="Arial"/>
        <w:color w:val="000000"/>
      </w:rPr>
    </w:pPr>
    <w:r>
      <w:rPr>
        <w:rFonts w:ascii="Arial" w:hAnsi="Arial" w:eastAsia="Arial" w:cs="Arial"/>
        <w:color w:val="000000"/>
        <w:sz w:val="24"/>
        <w:szCs w:val="24"/>
      </w:rPr>
      <w:t xml:space="preserve">                          </w:t>
    </w:r>
    <w:r>
      <w:rPr>
        <w:rFonts w:ascii="Arial" w:hAnsi="Arial" w:eastAsia="Arial" w:cs="Arial"/>
        <w:color w:val="000000"/>
      </w:rPr>
      <w:t>BSIT Capstone Project Proposal Outline</w:t>
    </w:r>
  </w:p>
  <w:p w14:paraId="59785062">
    <w:pPr>
      <w:tabs>
        <w:tab w:val="center" w:pos="4680"/>
        <w:tab w:val="right" w:pos="9360"/>
      </w:tabs>
      <w:spacing w:after="0" w:line="240" w:lineRule="auto"/>
      <w:rPr>
        <w:rFonts w:ascii="Times New Roman" w:hAnsi="Times New Roman" w:eastAsia="Times New Roman" w:cs="Times New Roman"/>
        <w:color w:val="000000"/>
        <w:sz w:val="18"/>
        <w:szCs w:val="18"/>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1043305</wp:posOffset>
              </wp:positionH>
              <wp:positionV relativeFrom="paragraph">
                <wp:posOffset>67945</wp:posOffset>
              </wp:positionV>
              <wp:extent cx="0" cy="19050"/>
              <wp:effectExtent l="0" t="0" r="0" b="0"/>
              <wp:wrapNone/>
              <wp:docPr id="2075205788" name="Straight Arrow Connector 2075205788"/>
              <wp:cNvGraphicFramePr/>
              <a:graphic xmlns:a="http://schemas.openxmlformats.org/drawingml/2006/main">
                <a:graphicData uri="http://schemas.microsoft.com/office/word/2010/wordprocessingShape">
                  <wps:wsp>
                    <wps:cNvCnPr/>
                    <wps:spPr>
                      <a:xfrm>
                        <a:off x="3336225" y="3780000"/>
                        <a:ext cx="4019550" cy="0"/>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82.15pt;margin-top:5.35pt;height:1.5pt;width:0pt;z-index:251659264;mso-width-relative:page;mso-height-relative:page;" filled="f" stroked="t" coordsize="21600,21600" o:gfxdata="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5NBnXXAAAACQEAAA8AAAAAAAAAAQAgAAAAIgAAAGRycy9k&#10;b3ducmV2LnhtbFBLAQIUABQAAAAIAIdO4kCFdRSwAwIAAB8EAAAOAAAAAAAAAAEAIAAAACYBAABk&#10;cnMvZTJvRG9jLnhtbFBLBQYAAAAABgAGAFkBAACbBQAAAAA=&#10;">
              <v:fill on="f" focussize="0,0"/>
              <v:stroke weight="1.5pt" color="#000000 [3200]" joinstyle="round" startarrowwidth="narrow" startarrowlength="short" endarrowwidth="narrow" endarrowlength="short"/>
              <v:imagedata o:title=""/>
              <o:lock v:ext="edit" aspectratio="f"/>
            </v:shape>
          </w:pict>
        </mc:Fallback>
      </mc:AlternateContent>
    </w:r>
  </w:p>
  <w:p w14:paraId="77B0A4D4">
    <w:pPr>
      <w:tabs>
        <w:tab w:val="center" w:pos="4680"/>
        <w:tab w:val="right" w:pos="9360"/>
      </w:tabs>
      <w:spacing w:after="0" w:line="240" w:lineRule="auto"/>
      <w:rPr>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3FFDC4"/>
    <w:multiLevelType w:val="singleLevel"/>
    <w:tmpl w:val="A73FFDC4"/>
    <w:lvl w:ilvl="0" w:tentative="0">
      <w:start w:val="1"/>
      <w:numFmt w:val="decimal"/>
      <w:suff w:val="space"/>
      <w:lvlText w:val="%1."/>
      <w:lvlJc w:val="left"/>
    </w:lvl>
  </w:abstractNum>
  <w:abstractNum w:abstractNumId="1">
    <w:nsid w:val="16CE206F"/>
    <w:multiLevelType w:val="multilevel"/>
    <w:tmpl w:val="16CE20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56E26A6"/>
    <w:multiLevelType w:val="multilevel"/>
    <w:tmpl w:val="256E26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DF6778F"/>
    <w:multiLevelType w:val="multilevel"/>
    <w:tmpl w:val="2DF677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FCA7544"/>
    <w:multiLevelType w:val="multilevel"/>
    <w:tmpl w:val="3FCA75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5002948"/>
    <w:multiLevelType w:val="multilevel"/>
    <w:tmpl w:val="550029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6221A89"/>
    <w:multiLevelType w:val="multilevel"/>
    <w:tmpl w:val="56221A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4490EF6"/>
    <w:multiLevelType w:val="multilevel"/>
    <w:tmpl w:val="64490EF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7F57F2A"/>
    <w:multiLevelType w:val="multilevel"/>
    <w:tmpl w:val="67F57F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8"/>
  </w:num>
  <w:num w:numId="3">
    <w:abstractNumId w:val="3"/>
  </w:num>
  <w:num w:numId="4">
    <w:abstractNumId w:val="2"/>
  </w:num>
  <w:num w:numId="5">
    <w:abstractNumId w:val="7"/>
  </w:num>
  <w:num w:numId="6">
    <w:abstractNumId w:val="1"/>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01D"/>
    <w:rsid w:val="00035CAD"/>
    <w:rsid w:val="000712C9"/>
    <w:rsid w:val="0008078E"/>
    <w:rsid w:val="00081DCF"/>
    <w:rsid w:val="001139EE"/>
    <w:rsid w:val="0012387C"/>
    <w:rsid w:val="00140B5B"/>
    <w:rsid w:val="00150062"/>
    <w:rsid w:val="00166599"/>
    <w:rsid w:val="00186925"/>
    <w:rsid w:val="001926D5"/>
    <w:rsid w:val="001B5E4C"/>
    <w:rsid w:val="001B6444"/>
    <w:rsid w:val="001D73AF"/>
    <w:rsid w:val="001E30A0"/>
    <w:rsid w:val="001E3A64"/>
    <w:rsid w:val="002107A6"/>
    <w:rsid w:val="00212A6B"/>
    <w:rsid w:val="002A5224"/>
    <w:rsid w:val="002E23D4"/>
    <w:rsid w:val="002F496D"/>
    <w:rsid w:val="00311E2D"/>
    <w:rsid w:val="00320087"/>
    <w:rsid w:val="003603F7"/>
    <w:rsid w:val="00376C0F"/>
    <w:rsid w:val="003936B4"/>
    <w:rsid w:val="003C1BF0"/>
    <w:rsid w:val="003D6DA1"/>
    <w:rsid w:val="004609C6"/>
    <w:rsid w:val="004A5A14"/>
    <w:rsid w:val="004B5D46"/>
    <w:rsid w:val="0050307F"/>
    <w:rsid w:val="00515519"/>
    <w:rsid w:val="00523814"/>
    <w:rsid w:val="005346FC"/>
    <w:rsid w:val="00537286"/>
    <w:rsid w:val="005A0D08"/>
    <w:rsid w:val="005B6C16"/>
    <w:rsid w:val="005D48E1"/>
    <w:rsid w:val="005D62D4"/>
    <w:rsid w:val="00607CA9"/>
    <w:rsid w:val="006274F3"/>
    <w:rsid w:val="00631EAC"/>
    <w:rsid w:val="00687EBD"/>
    <w:rsid w:val="0069224C"/>
    <w:rsid w:val="006E1DE9"/>
    <w:rsid w:val="006E7C1A"/>
    <w:rsid w:val="00703D0D"/>
    <w:rsid w:val="00706136"/>
    <w:rsid w:val="00710873"/>
    <w:rsid w:val="00736A96"/>
    <w:rsid w:val="00757A2D"/>
    <w:rsid w:val="00768CD2"/>
    <w:rsid w:val="00790B25"/>
    <w:rsid w:val="007B4DCD"/>
    <w:rsid w:val="007C1966"/>
    <w:rsid w:val="007E79A6"/>
    <w:rsid w:val="0083551A"/>
    <w:rsid w:val="00853735"/>
    <w:rsid w:val="008A2B3E"/>
    <w:rsid w:val="008C1E22"/>
    <w:rsid w:val="008C429D"/>
    <w:rsid w:val="008D20F8"/>
    <w:rsid w:val="008E1F77"/>
    <w:rsid w:val="00907406"/>
    <w:rsid w:val="00924994"/>
    <w:rsid w:val="00925AC0"/>
    <w:rsid w:val="00945487"/>
    <w:rsid w:val="0095401D"/>
    <w:rsid w:val="009968F4"/>
    <w:rsid w:val="009D486B"/>
    <w:rsid w:val="009E289F"/>
    <w:rsid w:val="009E3567"/>
    <w:rsid w:val="009E70C7"/>
    <w:rsid w:val="00A10904"/>
    <w:rsid w:val="00A37447"/>
    <w:rsid w:val="00AF0493"/>
    <w:rsid w:val="00B07A61"/>
    <w:rsid w:val="00B209F9"/>
    <w:rsid w:val="00B20C4F"/>
    <w:rsid w:val="00BA0585"/>
    <w:rsid w:val="00BA7540"/>
    <w:rsid w:val="00BC32CE"/>
    <w:rsid w:val="00C06F9A"/>
    <w:rsid w:val="00C079DD"/>
    <w:rsid w:val="00C22C05"/>
    <w:rsid w:val="00C276F6"/>
    <w:rsid w:val="00C91B9D"/>
    <w:rsid w:val="00CA4D09"/>
    <w:rsid w:val="00CB5FE7"/>
    <w:rsid w:val="00CD3026"/>
    <w:rsid w:val="00CE6DF3"/>
    <w:rsid w:val="00CF3E70"/>
    <w:rsid w:val="00CF7A66"/>
    <w:rsid w:val="00D46249"/>
    <w:rsid w:val="00D5153E"/>
    <w:rsid w:val="00D573CF"/>
    <w:rsid w:val="00DD7772"/>
    <w:rsid w:val="00E33742"/>
    <w:rsid w:val="00E918EB"/>
    <w:rsid w:val="00E9626E"/>
    <w:rsid w:val="00F8430E"/>
    <w:rsid w:val="00F94362"/>
    <w:rsid w:val="00FC211A"/>
    <w:rsid w:val="0108B596"/>
    <w:rsid w:val="01CAF602"/>
    <w:rsid w:val="0201C2EB"/>
    <w:rsid w:val="02A1BDB8"/>
    <w:rsid w:val="02E67C89"/>
    <w:rsid w:val="03589BB7"/>
    <w:rsid w:val="03760C61"/>
    <w:rsid w:val="03D58265"/>
    <w:rsid w:val="04124521"/>
    <w:rsid w:val="046537F8"/>
    <w:rsid w:val="0478F91B"/>
    <w:rsid w:val="059C18F3"/>
    <w:rsid w:val="05B739D5"/>
    <w:rsid w:val="08A337D2"/>
    <w:rsid w:val="090EB72A"/>
    <w:rsid w:val="09264811"/>
    <w:rsid w:val="0967884A"/>
    <w:rsid w:val="09AEC8B1"/>
    <w:rsid w:val="09E0FC62"/>
    <w:rsid w:val="0A5E90C3"/>
    <w:rsid w:val="0A65080F"/>
    <w:rsid w:val="0A8ADE25"/>
    <w:rsid w:val="0B1B4DAE"/>
    <w:rsid w:val="0B41462D"/>
    <w:rsid w:val="0BB27030"/>
    <w:rsid w:val="0BE303AF"/>
    <w:rsid w:val="0C375C8C"/>
    <w:rsid w:val="0CD7315B"/>
    <w:rsid w:val="0D18F20F"/>
    <w:rsid w:val="0D35E2B2"/>
    <w:rsid w:val="0D3A9178"/>
    <w:rsid w:val="0E2C6383"/>
    <w:rsid w:val="0ECAB2CF"/>
    <w:rsid w:val="0F5B0076"/>
    <w:rsid w:val="0FD4E8C2"/>
    <w:rsid w:val="109F4B8F"/>
    <w:rsid w:val="1109374B"/>
    <w:rsid w:val="118A1284"/>
    <w:rsid w:val="118AC525"/>
    <w:rsid w:val="1191A058"/>
    <w:rsid w:val="1252D2F8"/>
    <w:rsid w:val="125D460A"/>
    <w:rsid w:val="12761EA3"/>
    <w:rsid w:val="133007FC"/>
    <w:rsid w:val="134595A9"/>
    <w:rsid w:val="13EF641E"/>
    <w:rsid w:val="13F0C580"/>
    <w:rsid w:val="147AD808"/>
    <w:rsid w:val="14D7481E"/>
    <w:rsid w:val="14F7F92B"/>
    <w:rsid w:val="153C138C"/>
    <w:rsid w:val="155BDE7F"/>
    <w:rsid w:val="1577F0E7"/>
    <w:rsid w:val="157CFAE8"/>
    <w:rsid w:val="15D210DE"/>
    <w:rsid w:val="15F7345F"/>
    <w:rsid w:val="16F19EE8"/>
    <w:rsid w:val="16F5F606"/>
    <w:rsid w:val="176CEF74"/>
    <w:rsid w:val="1862E5ED"/>
    <w:rsid w:val="18EC4E97"/>
    <w:rsid w:val="1A39CEFC"/>
    <w:rsid w:val="1A6BE728"/>
    <w:rsid w:val="1AFC0978"/>
    <w:rsid w:val="1B131B05"/>
    <w:rsid w:val="1B2DC11A"/>
    <w:rsid w:val="1B79FC28"/>
    <w:rsid w:val="1B7C5785"/>
    <w:rsid w:val="1D4D6987"/>
    <w:rsid w:val="1F1064BC"/>
    <w:rsid w:val="1F1621D2"/>
    <w:rsid w:val="1F1F220A"/>
    <w:rsid w:val="1F1F9C21"/>
    <w:rsid w:val="1F2A8493"/>
    <w:rsid w:val="1FC962D4"/>
    <w:rsid w:val="1FD9005B"/>
    <w:rsid w:val="1FE854B9"/>
    <w:rsid w:val="205300C2"/>
    <w:rsid w:val="2091BBEF"/>
    <w:rsid w:val="20D6BDA4"/>
    <w:rsid w:val="214B0B20"/>
    <w:rsid w:val="21AEED8D"/>
    <w:rsid w:val="22A4CCAA"/>
    <w:rsid w:val="232BC7C2"/>
    <w:rsid w:val="23341140"/>
    <w:rsid w:val="2344B8E9"/>
    <w:rsid w:val="239E4008"/>
    <w:rsid w:val="23E09567"/>
    <w:rsid w:val="2443CE53"/>
    <w:rsid w:val="248512C6"/>
    <w:rsid w:val="24C74509"/>
    <w:rsid w:val="25187534"/>
    <w:rsid w:val="263D6B17"/>
    <w:rsid w:val="26B53D78"/>
    <w:rsid w:val="278F5ED0"/>
    <w:rsid w:val="27F7CEE0"/>
    <w:rsid w:val="28F9FEE5"/>
    <w:rsid w:val="294357C5"/>
    <w:rsid w:val="2A32F289"/>
    <w:rsid w:val="2A77F2D5"/>
    <w:rsid w:val="2A7B1A0C"/>
    <w:rsid w:val="2AD52B6B"/>
    <w:rsid w:val="2AFFB0F3"/>
    <w:rsid w:val="2C3A37D4"/>
    <w:rsid w:val="2C7C7641"/>
    <w:rsid w:val="2D1B24E1"/>
    <w:rsid w:val="2D60DC7F"/>
    <w:rsid w:val="2D910ED6"/>
    <w:rsid w:val="2E226067"/>
    <w:rsid w:val="2FEE43A0"/>
    <w:rsid w:val="2FFF13BC"/>
    <w:rsid w:val="3082CD40"/>
    <w:rsid w:val="31B7CB07"/>
    <w:rsid w:val="31CFF5E2"/>
    <w:rsid w:val="31E41B64"/>
    <w:rsid w:val="3206359F"/>
    <w:rsid w:val="324BAE29"/>
    <w:rsid w:val="327AE896"/>
    <w:rsid w:val="3296F5AB"/>
    <w:rsid w:val="334282A5"/>
    <w:rsid w:val="33A2E164"/>
    <w:rsid w:val="33B41F8B"/>
    <w:rsid w:val="343EE1C9"/>
    <w:rsid w:val="34AB1F18"/>
    <w:rsid w:val="34EA7489"/>
    <w:rsid w:val="3505E1EE"/>
    <w:rsid w:val="35D9C01F"/>
    <w:rsid w:val="36126BA3"/>
    <w:rsid w:val="362A8D89"/>
    <w:rsid w:val="363E335A"/>
    <w:rsid w:val="368CC5FF"/>
    <w:rsid w:val="3701B355"/>
    <w:rsid w:val="3749E04F"/>
    <w:rsid w:val="37735791"/>
    <w:rsid w:val="379EE409"/>
    <w:rsid w:val="37B787AC"/>
    <w:rsid w:val="383D8A6A"/>
    <w:rsid w:val="384AECE6"/>
    <w:rsid w:val="38633B53"/>
    <w:rsid w:val="3932DE08"/>
    <w:rsid w:val="39ABD454"/>
    <w:rsid w:val="39CB536B"/>
    <w:rsid w:val="3AE3159B"/>
    <w:rsid w:val="3BB0927C"/>
    <w:rsid w:val="3BB3C423"/>
    <w:rsid w:val="3BFD14CC"/>
    <w:rsid w:val="3C3E1173"/>
    <w:rsid w:val="3CD3EB17"/>
    <w:rsid w:val="3CD5A43D"/>
    <w:rsid w:val="3D2DAD23"/>
    <w:rsid w:val="3E25CC46"/>
    <w:rsid w:val="3EC83A2B"/>
    <w:rsid w:val="3EEE99DE"/>
    <w:rsid w:val="40313B78"/>
    <w:rsid w:val="405123F8"/>
    <w:rsid w:val="414E9717"/>
    <w:rsid w:val="418CD108"/>
    <w:rsid w:val="41900262"/>
    <w:rsid w:val="41C53FEC"/>
    <w:rsid w:val="41CCD8A0"/>
    <w:rsid w:val="41E61502"/>
    <w:rsid w:val="42C85D7F"/>
    <w:rsid w:val="431F2905"/>
    <w:rsid w:val="435ECC8F"/>
    <w:rsid w:val="436AD5FC"/>
    <w:rsid w:val="43EDE5CF"/>
    <w:rsid w:val="43EEDAAE"/>
    <w:rsid w:val="4402D7E2"/>
    <w:rsid w:val="4452A4AA"/>
    <w:rsid w:val="44835E31"/>
    <w:rsid w:val="44CC8987"/>
    <w:rsid w:val="44D28853"/>
    <w:rsid w:val="4515227D"/>
    <w:rsid w:val="455E98AA"/>
    <w:rsid w:val="457C0934"/>
    <w:rsid w:val="45BB2A18"/>
    <w:rsid w:val="45F82ED7"/>
    <w:rsid w:val="46353B1B"/>
    <w:rsid w:val="46405E4E"/>
    <w:rsid w:val="46C0E1DE"/>
    <w:rsid w:val="46E2DE16"/>
    <w:rsid w:val="47B62A24"/>
    <w:rsid w:val="47CD7507"/>
    <w:rsid w:val="4821B01A"/>
    <w:rsid w:val="486435AC"/>
    <w:rsid w:val="486DCB6D"/>
    <w:rsid w:val="48B63ABB"/>
    <w:rsid w:val="491EA17C"/>
    <w:rsid w:val="499022B5"/>
    <w:rsid w:val="49BAD9B5"/>
    <w:rsid w:val="49C82B01"/>
    <w:rsid w:val="49EA3124"/>
    <w:rsid w:val="49FCDCDD"/>
    <w:rsid w:val="4A016CD1"/>
    <w:rsid w:val="4A530001"/>
    <w:rsid w:val="4AD1C4BB"/>
    <w:rsid w:val="4C35BD41"/>
    <w:rsid w:val="4CC2EA22"/>
    <w:rsid w:val="4CF5D883"/>
    <w:rsid w:val="4CFBD4D1"/>
    <w:rsid w:val="4D049DD2"/>
    <w:rsid w:val="4D5FF277"/>
    <w:rsid w:val="4D6E9A3D"/>
    <w:rsid w:val="4DCA88D1"/>
    <w:rsid w:val="4E022303"/>
    <w:rsid w:val="4E046CB6"/>
    <w:rsid w:val="4E2282F6"/>
    <w:rsid w:val="4E67024C"/>
    <w:rsid w:val="4E72CE62"/>
    <w:rsid w:val="4E73EF73"/>
    <w:rsid w:val="4EAC418B"/>
    <w:rsid w:val="4EBE25C1"/>
    <w:rsid w:val="4F04096E"/>
    <w:rsid w:val="4FD1BFB4"/>
    <w:rsid w:val="50C2E884"/>
    <w:rsid w:val="51280FC2"/>
    <w:rsid w:val="519A587F"/>
    <w:rsid w:val="51B2428C"/>
    <w:rsid w:val="51B51D57"/>
    <w:rsid w:val="520D4316"/>
    <w:rsid w:val="522C4CE0"/>
    <w:rsid w:val="523DC3FA"/>
    <w:rsid w:val="528B018D"/>
    <w:rsid w:val="528F48FE"/>
    <w:rsid w:val="5307F28C"/>
    <w:rsid w:val="53B8533C"/>
    <w:rsid w:val="540B8E61"/>
    <w:rsid w:val="54B003A2"/>
    <w:rsid w:val="55D55F61"/>
    <w:rsid w:val="5625205E"/>
    <w:rsid w:val="569E9195"/>
    <w:rsid w:val="57FBAE15"/>
    <w:rsid w:val="594B9855"/>
    <w:rsid w:val="594E2132"/>
    <w:rsid w:val="59C88C7C"/>
    <w:rsid w:val="5B00F9DD"/>
    <w:rsid w:val="5B1F647D"/>
    <w:rsid w:val="5B43CC6A"/>
    <w:rsid w:val="5B626F60"/>
    <w:rsid w:val="5C277C12"/>
    <w:rsid w:val="5D1622C6"/>
    <w:rsid w:val="5D8292EA"/>
    <w:rsid w:val="5DA48CE6"/>
    <w:rsid w:val="5E8F3EE9"/>
    <w:rsid w:val="5EBB8216"/>
    <w:rsid w:val="5EC8BC3F"/>
    <w:rsid w:val="5ECF1B94"/>
    <w:rsid w:val="5F098592"/>
    <w:rsid w:val="5F0F8F92"/>
    <w:rsid w:val="5F3619D1"/>
    <w:rsid w:val="5FACCC79"/>
    <w:rsid w:val="5FC7BF52"/>
    <w:rsid w:val="5FCD344F"/>
    <w:rsid w:val="5FD736EE"/>
    <w:rsid w:val="5FF1246A"/>
    <w:rsid w:val="60497928"/>
    <w:rsid w:val="614B67A9"/>
    <w:rsid w:val="62267408"/>
    <w:rsid w:val="6244D6DB"/>
    <w:rsid w:val="62535D08"/>
    <w:rsid w:val="627B6ABA"/>
    <w:rsid w:val="62E4477E"/>
    <w:rsid w:val="63427DA1"/>
    <w:rsid w:val="63D495F2"/>
    <w:rsid w:val="63FDB993"/>
    <w:rsid w:val="64D3DEAA"/>
    <w:rsid w:val="655671D0"/>
    <w:rsid w:val="6597A719"/>
    <w:rsid w:val="65BCFAC9"/>
    <w:rsid w:val="65D45FB4"/>
    <w:rsid w:val="65F64AE1"/>
    <w:rsid w:val="66591669"/>
    <w:rsid w:val="66792038"/>
    <w:rsid w:val="67284521"/>
    <w:rsid w:val="676B23B7"/>
    <w:rsid w:val="67D4D2C7"/>
    <w:rsid w:val="67DC5D62"/>
    <w:rsid w:val="68020270"/>
    <w:rsid w:val="68BA03A6"/>
    <w:rsid w:val="68C1BA77"/>
    <w:rsid w:val="69099893"/>
    <w:rsid w:val="6987F731"/>
    <w:rsid w:val="698ACF98"/>
    <w:rsid w:val="6A39DE2B"/>
    <w:rsid w:val="6AC65E77"/>
    <w:rsid w:val="6BA8F10D"/>
    <w:rsid w:val="6C204784"/>
    <w:rsid w:val="6C25CB51"/>
    <w:rsid w:val="6C4D2242"/>
    <w:rsid w:val="6C651080"/>
    <w:rsid w:val="6C8EF436"/>
    <w:rsid w:val="6CF032A1"/>
    <w:rsid w:val="6D306DE2"/>
    <w:rsid w:val="6D5AD48F"/>
    <w:rsid w:val="6E651FBE"/>
    <w:rsid w:val="6E6A5289"/>
    <w:rsid w:val="6E6EFABD"/>
    <w:rsid w:val="6EBB49B9"/>
    <w:rsid w:val="6EDC9946"/>
    <w:rsid w:val="6F0DE857"/>
    <w:rsid w:val="70768CDE"/>
    <w:rsid w:val="709782DF"/>
    <w:rsid w:val="70A05857"/>
    <w:rsid w:val="70B7B478"/>
    <w:rsid w:val="70D859B1"/>
    <w:rsid w:val="71581B45"/>
    <w:rsid w:val="71701E7B"/>
    <w:rsid w:val="71C4AB0A"/>
    <w:rsid w:val="71E890B8"/>
    <w:rsid w:val="71F75E2E"/>
    <w:rsid w:val="72AE4896"/>
    <w:rsid w:val="734ADAFC"/>
    <w:rsid w:val="7443DB63"/>
    <w:rsid w:val="7447166C"/>
    <w:rsid w:val="75C15E3F"/>
    <w:rsid w:val="75E60BEE"/>
    <w:rsid w:val="771D37FD"/>
    <w:rsid w:val="78C693F9"/>
    <w:rsid w:val="7948A300"/>
    <w:rsid w:val="797776A2"/>
    <w:rsid w:val="79809176"/>
    <w:rsid w:val="7B2FC7B5"/>
    <w:rsid w:val="7B76D499"/>
    <w:rsid w:val="7BAAF890"/>
    <w:rsid w:val="7BAC0A3B"/>
    <w:rsid w:val="7CDB6CA7"/>
    <w:rsid w:val="7CFC6B51"/>
    <w:rsid w:val="7D8343F6"/>
    <w:rsid w:val="7DD3874A"/>
    <w:rsid w:val="7E1C6FBE"/>
    <w:rsid w:val="7E4807B8"/>
    <w:rsid w:val="7EE37C3B"/>
    <w:rsid w:val="7F9D6F4E"/>
    <w:rsid w:val="7FD81F7B"/>
    <w:rsid w:val="7FF34C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eastAsia="ja-JP"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7"/>
    <w:semiHidden/>
    <w:unhideWhenUsed/>
    <w:qFormat/>
    <w:uiPriority w:val="99"/>
    <w:pPr>
      <w:spacing w:after="0" w:line="240" w:lineRule="auto"/>
    </w:pPr>
    <w:rPr>
      <w:rFonts w:ascii="Segoe UI" w:hAnsi="Segoe UI" w:cs="Segoe UI"/>
      <w:sz w:val="18"/>
      <w:szCs w:val="18"/>
    </w:rPr>
  </w:style>
  <w:style w:type="character" w:styleId="11">
    <w:name w:val="Emphasis"/>
    <w:basedOn w:val="8"/>
    <w:qFormat/>
    <w:uiPriority w:val="20"/>
    <w:rPr>
      <w:i/>
      <w:iCs/>
    </w:rPr>
  </w:style>
  <w:style w:type="paragraph" w:styleId="12">
    <w:name w:val="footer"/>
    <w:basedOn w:val="1"/>
    <w:link w:val="25"/>
    <w:unhideWhenUsed/>
    <w:qFormat/>
    <w:uiPriority w:val="99"/>
    <w:pPr>
      <w:tabs>
        <w:tab w:val="center" w:pos="4680"/>
        <w:tab w:val="right" w:pos="9360"/>
      </w:tabs>
      <w:spacing w:after="0" w:line="240" w:lineRule="auto"/>
    </w:pPr>
  </w:style>
  <w:style w:type="character" w:styleId="13">
    <w:name w:val="footnote reference"/>
    <w:basedOn w:val="8"/>
    <w:semiHidden/>
    <w:unhideWhenUsed/>
    <w:qFormat/>
    <w:uiPriority w:val="99"/>
    <w:rPr>
      <w:vertAlign w:val="superscript"/>
    </w:rPr>
  </w:style>
  <w:style w:type="paragraph" w:styleId="14">
    <w:name w:val="footnote text"/>
    <w:basedOn w:val="1"/>
    <w:link w:val="29"/>
    <w:semiHidden/>
    <w:unhideWhenUsed/>
    <w:qFormat/>
    <w:uiPriority w:val="99"/>
    <w:pPr>
      <w:spacing w:after="0" w:line="240" w:lineRule="auto"/>
    </w:pPr>
    <w:rPr>
      <w:rFonts w:ascii="Times New Roman" w:hAnsi="Times New Roman" w:eastAsia="Times New Roman" w:cs="Times New Roman"/>
      <w:sz w:val="20"/>
      <w:szCs w:val="20"/>
      <w:lang w:val="en-PH" w:eastAsia="zh-CN"/>
    </w:rPr>
  </w:style>
  <w:style w:type="paragraph" w:styleId="15">
    <w:name w:val="header"/>
    <w:basedOn w:val="1"/>
    <w:link w:val="24"/>
    <w:unhideWhenUsed/>
    <w:qFormat/>
    <w:uiPriority w:val="99"/>
    <w:pPr>
      <w:tabs>
        <w:tab w:val="center" w:pos="4680"/>
        <w:tab w:val="right" w:pos="9360"/>
      </w:tabs>
      <w:spacing w:after="0" w:line="240" w:lineRule="auto"/>
    </w:pPr>
  </w:style>
  <w:style w:type="character" w:styleId="16">
    <w:name w:val="Hyperlink"/>
    <w:basedOn w:val="8"/>
    <w:unhideWhenUsed/>
    <w:qFormat/>
    <w:uiPriority w:val="99"/>
    <w:rPr>
      <w:color w:val="0000FF"/>
      <w:u w:val="single"/>
    </w:rPr>
  </w:style>
  <w:style w:type="paragraph" w:styleId="17">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8"/>
    <w:qFormat/>
    <w:uiPriority w:val="22"/>
    <w:rPr>
      <w:b/>
      <w:bCs/>
    </w:rPr>
  </w:style>
  <w:style w:type="paragraph" w:styleId="19">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20">
    <w:name w:val="Table Grid"/>
    <w:basedOn w:val="9"/>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itle"/>
    <w:basedOn w:val="1"/>
    <w:next w:val="1"/>
    <w:qFormat/>
    <w:uiPriority w:val="10"/>
    <w:pPr>
      <w:keepNext/>
      <w:keepLines/>
      <w:spacing w:before="480" w:after="120"/>
    </w:pPr>
    <w:rPr>
      <w:b/>
      <w:bCs/>
      <w:sz w:val="72"/>
      <w:szCs w:val="72"/>
    </w:rPr>
  </w:style>
  <w:style w:type="table" w:customStyle="1" w:styleId="22">
    <w:name w:val="TableNormal"/>
    <w:qFormat/>
    <w:uiPriority w:val="0"/>
    <w:tblPr>
      <w:tblCellMar>
        <w:top w:w="100" w:type="dxa"/>
        <w:left w:w="100" w:type="dxa"/>
        <w:bottom w:w="100" w:type="dxa"/>
        <w:right w:w="100" w:type="dxa"/>
      </w:tblCellMar>
    </w:tblPr>
  </w:style>
  <w:style w:type="paragraph" w:styleId="23">
    <w:name w:val="No Spacing"/>
    <w:qFormat/>
    <w:uiPriority w:val="1"/>
    <w:pPr>
      <w:spacing w:after="200" w:line="276" w:lineRule="auto"/>
    </w:pPr>
    <w:rPr>
      <w:rFonts w:ascii="Calibri" w:hAnsi="Calibri" w:eastAsia="Calibri" w:cs="Calibri"/>
      <w:sz w:val="22"/>
      <w:szCs w:val="22"/>
      <w:lang w:val="en-US" w:eastAsia="ja-JP" w:bidi="ar-SA"/>
    </w:rPr>
  </w:style>
  <w:style w:type="character" w:customStyle="1" w:styleId="24">
    <w:name w:val="Header Char"/>
    <w:basedOn w:val="8"/>
    <w:link w:val="15"/>
    <w:qFormat/>
    <w:uiPriority w:val="99"/>
    <w:rPr>
      <w:lang w:val="en-US"/>
    </w:rPr>
  </w:style>
  <w:style w:type="character" w:customStyle="1" w:styleId="25">
    <w:name w:val="Footer Char"/>
    <w:basedOn w:val="8"/>
    <w:link w:val="12"/>
    <w:qFormat/>
    <w:uiPriority w:val="99"/>
    <w:rPr>
      <w:lang w:val="en-US"/>
    </w:rPr>
  </w:style>
  <w:style w:type="paragraph" w:styleId="26">
    <w:name w:val="List Paragraph"/>
    <w:basedOn w:val="1"/>
    <w:qFormat/>
    <w:uiPriority w:val="34"/>
    <w:pPr>
      <w:ind w:left="720"/>
      <w:contextualSpacing/>
    </w:pPr>
    <w:rPr>
      <w:rFonts w:eastAsiaTheme="minorEastAsia"/>
    </w:rPr>
  </w:style>
  <w:style w:type="character" w:customStyle="1" w:styleId="27">
    <w:name w:val="Balloon Text Char"/>
    <w:basedOn w:val="8"/>
    <w:link w:val="10"/>
    <w:semiHidden/>
    <w:qFormat/>
    <w:uiPriority w:val="99"/>
    <w:rPr>
      <w:rFonts w:ascii="Segoe UI" w:hAnsi="Segoe UI" w:cs="Segoe UI"/>
      <w:sz w:val="18"/>
      <w:szCs w:val="18"/>
      <w:lang w:val="en-US"/>
    </w:rPr>
  </w:style>
  <w:style w:type="table" w:customStyle="1" w:styleId="28">
    <w:name w:val="TableGrid"/>
    <w:qFormat/>
    <w:uiPriority w:val="0"/>
    <w:rPr>
      <w:rFonts w:eastAsia="Times New Roman"/>
    </w:rPr>
    <w:tblPr>
      <w:tblCellMar>
        <w:top w:w="0" w:type="dxa"/>
        <w:left w:w="0" w:type="dxa"/>
        <w:bottom w:w="0" w:type="dxa"/>
        <w:right w:w="0" w:type="dxa"/>
      </w:tblCellMar>
    </w:tblPr>
  </w:style>
  <w:style w:type="character" w:customStyle="1" w:styleId="29">
    <w:name w:val="Footnote Text Char"/>
    <w:basedOn w:val="8"/>
    <w:link w:val="14"/>
    <w:semiHidden/>
    <w:qFormat/>
    <w:uiPriority w:val="99"/>
    <w:rPr>
      <w:rFonts w:ascii="Times New Roman" w:hAnsi="Times New Roman" w:eastAsia="Times New Roman" w:cs="Times New Roman"/>
      <w:sz w:val="20"/>
      <w:szCs w:val="20"/>
      <w:lang w:eastAsia="zh-CN"/>
    </w:rPr>
  </w:style>
  <w:style w:type="character" w:styleId="30">
    <w:name w:val="Placeholder Text"/>
    <w:basedOn w:val="8"/>
    <w:semiHidden/>
    <w:qFormat/>
    <w:uiPriority w:val="99"/>
    <w:rPr>
      <w:color w:val="808080"/>
    </w:rPr>
  </w:style>
  <w:style w:type="character" w:customStyle="1" w:styleId="31">
    <w:name w:val="Style2"/>
    <w:basedOn w:val="8"/>
    <w:qFormat/>
    <w:uiPriority w:val="1"/>
    <w:rPr>
      <w:rFonts w:ascii="Arial" w:hAnsi="Arial"/>
      <w:b/>
      <w:sz w:val="22"/>
      <w:u w:val="single"/>
    </w:rPr>
  </w:style>
  <w:style w:type="character" w:customStyle="1" w:styleId="32">
    <w:name w:val="Style3"/>
    <w:basedOn w:val="8"/>
    <w:qFormat/>
    <w:uiPriority w:val="1"/>
    <w:rPr>
      <w:rFonts w:ascii="Arial" w:hAnsi="Arial"/>
      <w:b/>
      <w:sz w:val="22"/>
    </w:rPr>
  </w:style>
  <w:style w:type="table" w:customStyle="1" w:styleId="33">
    <w:name w:val="_Style 29"/>
    <w:basedOn w:val="9"/>
    <w:qFormat/>
    <w:uiPriority w:val="0"/>
  </w:style>
  <w:style w:type="table" w:customStyle="1" w:styleId="34">
    <w:name w:val="_Style 30"/>
    <w:basedOn w:val="9"/>
    <w:qFormat/>
    <w:uiPriority w:val="0"/>
  </w:style>
  <w:style w:type="table" w:customStyle="1" w:styleId="35">
    <w:name w:val="_Style 31"/>
    <w:basedOn w:val="9"/>
    <w:qFormat/>
    <w:uiPriority w:val="0"/>
  </w:style>
  <w:style w:type="character" w:customStyle="1" w:styleId="36">
    <w:name w:val="Unresolved Mention1"/>
    <w:basedOn w:val="8"/>
    <w:semiHidden/>
    <w:unhideWhenUsed/>
    <w:qFormat/>
    <w:uiPriority w:val="99"/>
    <w:rPr>
      <w:color w:val="605E5C"/>
      <w:shd w:val="clear" w:color="auto" w:fill="E1DFDD"/>
    </w:rPr>
  </w:style>
  <w:style w:type="character" w:customStyle="1" w:styleId="37">
    <w:name w:val="citation-550"/>
    <w:basedOn w:val="8"/>
    <w:qFormat/>
    <w:uiPriority w:val="0"/>
  </w:style>
  <w:style w:type="character" w:customStyle="1" w:styleId="38">
    <w:name w:val="citation-549"/>
    <w:basedOn w:val="8"/>
    <w:qFormat/>
    <w:uiPriority w:val="0"/>
  </w:style>
  <w:style w:type="character" w:customStyle="1" w:styleId="39">
    <w:name w:val="citation-548"/>
    <w:basedOn w:val="8"/>
    <w:qFormat/>
    <w:uiPriority w:val="0"/>
  </w:style>
  <w:style w:type="character" w:customStyle="1" w:styleId="40">
    <w:name w:val="citation-547"/>
    <w:basedOn w:val="8"/>
    <w:qFormat/>
    <w:uiPriority w:val="0"/>
  </w:style>
  <w:style w:type="character" w:customStyle="1" w:styleId="41">
    <w:name w:val="citation-546"/>
    <w:basedOn w:val="8"/>
    <w:qFormat/>
    <w:uiPriority w:val="0"/>
  </w:style>
  <w:style w:type="character" w:customStyle="1" w:styleId="42">
    <w:name w:val="citation-545"/>
    <w:basedOn w:val="8"/>
    <w:qFormat/>
    <w:uiPriority w:val="0"/>
  </w:style>
  <w:style w:type="character" w:customStyle="1" w:styleId="43">
    <w:name w:val="citation-544"/>
    <w:basedOn w:val="8"/>
    <w:qFormat/>
    <w:uiPriority w:val="0"/>
  </w:style>
  <w:style w:type="character" w:customStyle="1" w:styleId="44">
    <w:name w:val="citation-543"/>
    <w:basedOn w:val="8"/>
    <w:qFormat/>
    <w:uiPriority w:val="0"/>
  </w:style>
  <w:style w:type="character" w:customStyle="1" w:styleId="45">
    <w:name w:val="citation-542"/>
    <w:basedOn w:val="8"/>
    <w:qFormat/>
    <w:uiPriority w:val="0"/>
  </w:style>
  <w:style w:type="character" w:customStyle="1" w:styleId="46">
    <w:name w:val="citation-541"/>
    <w:basedOn w:val="8"/>
    <w:qFormat/>
    <w:uiPriority w:val="0"/>
  </w:style>
  <w:style w:type="character" w:customStyle="1" w:styleId="47">
    <w:name w:val="citation-540"/>
    <w:basedOn w:val="8"/>
    <w:qFormat/>
    <w:uiPriority w:val="0"/>
  </w:style>
  <w:style w:type="character" w:customStyle="1" w:styleId="48">
    <w:name w:val="citation-539"/>
    <w:basedOn w:val="8"/>
    <w:qFormat/>
    <w:uiPriority w:val="0"/>
  </w:style>
  <w:style w:type="character" w:customStyle="1" w:styleId="49">
    <w:name w:val="citation-538"/>
    <w:basedOn w:val="8"/>
    <w:qFormat/>
    <w:uiPriority w:val="0"/>
  </w:style>
  <w:style w:type="character" w:customStyle="1" w:styleId="50">
    <w:name w:val="citation-537"/>
    <w:basedOn w:val="8"/>
    <w:qFormat/>
    <w:uiPriority w:val="0"/>
  </w:style>
  <w:style w:type="character" w:customStyle="1" w:styleId="51">
    <w:name w:val="citation-536"/>
    <w:basedOn w:val="8"/>
    <w:qFormat/>
    <w:uiPriority w:val="0"/>
  </w:style>
  <w:style w:type="character" w:customStyle="1" w:styleId="52">
    <w:name w:val="citation-535"/>
    <w:basedOn w:val="8"/>
    <w:qFormat/>
    <w:uiPriority w:val="0"/>
  </w:style>
  <w:style w:type="character" w:customStyle="1" w:styleId="53">
    <w:name w:val="citation-534"/>
    <w:basedOn w:val="8"/>
    <w:qFormat/>
    <w:uiPriority w:val="0"/>
  </w:style>
  <w:style w:type="character" w:customStyle="1" w:styleId="54">
    <w:name w:val="citation-533"/>
    <w:basedOn w:val="8"/>
    <w:qFormat/>
    <w:uiPriority w:val="0"/>
  </w:style>
  <w:style w:type="character" w:customStyle="1" w:styleId="55">
    <w:name w:val="citation-532"/>
    <w:basedOn w:val="8"/>
    <w:qFormat/>
    <w:uiPriority w:val="0"/>
  </w:style>
  <w:style w:type="character" w:customStyle="1" w:styleId="56">
    <w:name w:val="citation-531"/>
    <w:basedOn w:val="8"/>
    <w:qFormat/>
    <w:uiPriority w:val="0"/>
  </w:style>
  <w:style w:type="character" w:customStyle="1" w:styleId="57">
    <w:name w:val="citation-530"/>
    <w:basedOn w:val="8"/>
    <w:qFormat/>
    <w:uiPriority w:val="0"/>
  </w:style>
  <w:style w:type="character" w:customStyle="1" w:styleId="58">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cANjS8DjI40eQI8JxlL0sW5wA==">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CB3247-C4FD-4213-95CD-F8AB4A2E4607}">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25</Pages>
  <Words>1671</Words>
  <Characters>10963</Characters>
  <Lines>232</Lines>
  <Paragraphs>65</Paragraphs>
  <TotalTime>2</TotalTime>
  <ScaleCrop>false</ScaleCrop>
  <LinksUpToDate>false</LinksUpToDate>
  <CharactersWithSpaces>12589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2026-04-28T23:30:00Z</dcterms:created>
  <dc:creator>Acer</dc:creator>
  <cp:lastModifiedBy>JOAN MARIE Y DAY</cp:lastModifiedBy>
  <cp:lastPrinted>2026-04-27T03:43:00Z</cp:lastPrinted>
  <dcterms:modified xsi:type="dcterms:W3CDTF">2026-04-28T23:42:58Z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b9ce8bc719cd1735ca2f5d11ea07e6cf9515c4a5d78408ba80de0768a9e29967</vt:lpwstr>
  </property>
  <property fmtid="{D5CDD505-2E9C-101B-9397-08002B2CF9AE}" pid="3" name="KSOTemplateDocerSaveRecord">
    <vt:lpwstr>eyJoZGlkIjoiMWRhOWQ5Nzg0MDdlMjFiMTA5NDk2M2Y2ZTQ4NDIyYWMiLCJ1c2VySWQiOiI3MDQ4ODYwMjE3MTAifQ==</vt:lpwstr>
  </property>
  <property fmtid="{D5CDD505-2E9C-101B-9397-08002B2CF9AE}" pid="4" name="KSOProductBuildVer">
    <vt:lpwstr>1033-12.1.0.25242</vt:lpwstr>
  </property>
  <property fmtid="{D5CDD505-2E9C-101B-9397-08002B2CF9AE}" pid="5" name="ICV">
    <vt:lpwstr>CBBDD6DCFBEB4C3D83F64B8F32930C18_13</vt:lpwstr>
  </property>
  <property fmtid="{D5CDD505-2E9C-101B-9397-08002B2CF9AE}" pid="6" name="_DocHome">
    <vt:i4>1351090192</vt:i4>
  </property>
</Properties>
</file>