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POLÍTICA DE VACACIONES</w:t>
      </w:r>
    </w:p>
    <w:p>
      <w:r>
        <w:t>1. Cada empleado a jornada completa dispone de 25 días laborables de vacaciones al año.</w:t>
      </w:r>
    </w:p>
    <w:p>
      <w:r>
        <w:t>2. Las vacaciones se solicitan en el portal del empleado con al menos 15 días naturales de antelación.</w:t>
      </w:r>
    </w:p>
    <w:p>
      <w:r>
        <w:t>3. Se pueden trasladar al año siguiente hasta 5 días no disfrutados, que deben usarse antes del 31 de marzo.</w:t>
      </w:r>
    </w:p>
    <w:p>
      <w:r>
        <w:t>4. En agosto no pueden coincidir de vacaciones más del 50 % de las personas de un mismo equipo.</w:t>
      </w:r>
    </w:p>
    <w:p>
      <w:r>
        <w:t>5. Los días no disfrutados no se pagan, salvo al finalizar la relación laboral.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