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80"/>
        <w:jc w:val="center"/>
      </w:pPr>
      <w:r>
        <w:rPr>
          <w:rFonts w:ascii="Arial" w:cs="Arial" w:eastAsia="Arial" w:hAnsi="Arial"/>
          <w:b/>
          <w:bCs/>
          <w:color w:val="1A3C5E"/>
          <w:sz w:val="64"/>
          <w:szCs w:val="64"/>
        </w:rPr>
        <w:t xml:space="preserve">RED PILL PROTOCOL</w:t>
      </w:r>
    </w:p>
    <w:p>
      <w:pPr>
        <w:spacing w:after="80"/>
        <w:jc w:val="center"/>
      </w:pPr>
      <w:r>
        <w:rPr>
          <w:rFonts w:ascii="Arial" w:cs="Arial" w:eastAsia="Arial" w:hAnsi="Arial"/>
          <w:color w:val="555555"/>
          <w:sz w:val="32"/>
          <w:szCs w:val="32"/>
        </w:rPr>
        <w:t xml:space="preserve">ENGINEERING-GRADE CERTIFICATION REPORT</w:t>
      </w:r>
    </w:p>
    <w:p>
      <w:pPr>
        <w:spacing w:after="400"/>
        <w:jc w:val="center"/>
      </w:pPr>
      <w:r>
        <w:rPr>
          <w:rFonts w:ascii="Arial" w:cs="Arial" w:eastAsia="Arial" w:hAnsi="Arial"/>
          <w:color w:val="888888"/>
          <w:sz w:val="20"/>
          <w:szCs w:val="20"/>
        </w:rPr>
        <w:t xml:space="preserve">Version 5.6.1  ·  Audit Date: 2026-02-27  ·  Classification: CONFIDENTIAL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7A4A" w:val="clear"/>
            <w:tcMar>
              <w:top w:type="dxa" w:w="200"/>
              <w:left w:type="dxa" w:w="200"/>
              <w:bottom w:type="dxa" w:w="200"/>
              <w:right w:type="dxa" w:w="200"/>
            </w:tcMar>
          </w:tcPr>
          <w:p>
            <w:pPr>
              <w:jc w:val="center"/>
            </w:pPr>
            <w:r>
              <w:rPr>
                <w:b/>
                <w:bCs/>
                <w:color w:val="FFFFFF"/>
                <w:sz w:val="40"/>
                <w:szCs w:val="40"/>
              </w:rPr>
              <w:t xml:space="preserve">✅  PRODUCTION-READY  ·  CERTIFICATION GRANTED</w:t>
            </w:r>
          </w:p>
          <w:p>
            <w:pPr>
              <w:jc w:val="center"/>
            </w:pPr>
            <w:r>
              <w:rPr>
                <w:color w:val="CCFFCC"/>
                <w:sz w:val="20"/>
                <w:szCs w:val="20"/>
              </w:rPr>
              <w:t xml:space="preserve">CONDITIONAL — 2 MEDIUM findings require remediation within 30 days</w:t>
            </w:r>
          </w:p>
        </w:tc>
      </w:tr>
    </w:tbl>
    <w:p/>
    <w:p/>
    <w:p>
      <w:pPr>
        <w:jc w:val="center"/>
      </w:pPr>
      <w:r>
        <w:rPr>
          <w:color w:val="444444"/>
          <w:sz w:val="20"/>
          <w:szCs w:val="20"/>
        </w:rPr>
        <w:t xml:space="preserve">Requested by: Project Owner (Joan)  ·  Auditor: Claude Sonnet 4.6</w:t>
      </w:r>
    </w:p>
    <w:p>
      <w:pPr>
        <w:spacing w:after="600"/>
        <w:jc w:val="center"/>
      </w:pPr>
      <w:r>
        <w:rPr>
          <w:color w:val="444444"/>
          <w:sz w:val="20"/>
          <w:szCs w:val="20"/>
        </w:rPr>
        <w:t xml:space="preserve">Audit scope: Full source digest · CI/CD · Tests · Docs · Security · Architecture</w:t>
      </w:r>
    </w:p>
    <w:p>
      <w:r>
        <w:br w:type="page"/>
      </w:r>
    </w:p>
    <w:p>
      <w:pPr>
        <w:pStyle w:val="Heading1"/>
      </w:pPr>
      <w:r>
        <w:rPr>
          <w:color w:val="1A3C5E"/>
        </w:rPr>
        <w:t xml:space="preserve">1. Executive Summary</w:t>
      </w:r>
    </w:p>
    <w:p>
      <w:pPr>
        <w:spacing w:after="120"/>
      </w:pPr>
      <w:r>
        <w:t xml:space="preserve">The Red Pill Protocol (v5.6.1) is a self-hosted, sovereign AI memory layer built on Qdrant vector storage, FastEmbed embeddings, and a Python asyncio swarm architecture. This report constitutes a full engineering-grade certification covering code quality, security posture, test coverage, performance, documentation, architecture, and compliance.</w:t>
      </w:r>
    </w:p>
    <w:p/>
    <w:p>
      <w:pPr>
        <w:spacing w:after="120"/>
      </w:pPr>
      <w:r>
        <w:t xml:space="preserve">Overall finding: the project is PRODUCTION-READY for its stated target audience — individual power users and sovereign-stack developers on a local, single-user deployment. It is NOT currently certified for multi-tenant cloud environments (v6.0 roadmap). The certification is conditional on resolution of two open security findings (SEC-004, SEC-008) within 30 days.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960"/>
      </w:tblGrid>
      <w:tr>
        <w:trPr>
          <w:tblHeader/>
        </w:trPr>
        <w:tc>
          <w:tcPr>
            <w:tcW w:type="dxa" w:w="3200"/>
            <w:tcBorders>
              <w:top w:val="single" w:color="CCCCCC" w:sz="1"/>
              <w:left w:val="single" w:color="CCCCCC" w:sz="1"/>
              <w:bottom w:val="single" w:color="CCCCCC" w:sz="1"/>
              <w:right w:val="single" w:color="CCCCCC" w:sz="1"/>
            </w:tcBorders>
            <w:shd w:fill="1A3C5E" w:val="clear"/>
            <w:tcMar>
              <w:top w:type="dxa" w:w="80"/>
              <w:left w:type="dxa" w:w="100"/>
              <w:bottom w:type="dxa" w:w="80"/>
              <w:right w:type="dxa" w:w="100"/>
            </w:tcMar>
          </w:tcPr>
          <w:p>
            <w:r>
              <w:rPr>
                <w:b/>
                <w:bCs/>
                <w:color w:val="FFFFFF"/>
                <w:sz w:val="18"/>
                <w:szCs w:val="18"/>
              </w:rPr>
              <w:t xml:space="preserve">Dimension</w:t>
            </w:r>
          </w:p>
        </w:tc>
        <w:tc>
          <w:tcPr>
            <w:tcW w:type="dxa" w:w="2200"/>
            <w:tcBorders>
              <w:top w:val="single" w:color="CCCCCC" w:sz="1"/>
              <w:left w:val="single" w:color="CCCCCC" w:sz="1"/>
              <w:bottom w:val="single" w:color="CCCCCC" w:sz="1"/>
              <w:right w:val="single" w:color="CCCCCC" w:sz="1"/>
            </w:tcBorders>
            <w:shd w:fill="1A3C5E" w:val="clear"/>
            <w:tcMar>
              <w:top w:type="dxa" w:w="80"/>
              <w:left w:type="dxa" w:w="100"/>
              <w:bottom w:type="dxa" w:w="80"/>
              <w:right w:type="dxa" w:w="100"/>
            </w:tcMar>
          </w:tcPr>
          <w:p>
            <w:r>
              <w:rPr>
                <w:b/>
                <w:bCs/>
                <w:color w:val="FFFFFF"/>
                <w:sz w:val="18"/>
                <w:szCs w:val="18"/>
              </w:rPr>
              <w:t xml:space="preserve">Score</w:t>
            </w:r>
          </w:p>
        </w:tc>
        <w:tc>
          <w:tcPr>
            <w:tcW w:type="dxa" w:w="3960"/>
            <w:tcBorders>
              <w:top w:val="single" w:color="CCCCCC" w:sz="1"/>
              <w:left w:val="single" w:color="CCCCCC" w:sz="1"/>
              <w:bottom w:val="single" w:color="CCCCCC" w:sz="1"/>
              <w:right w:val="single" w:color="CCCCCC" w:sz="1"/>
            </w:tcBorders>
            <w:shd w:fill="1A3C5E" w:val="clear"/>
            <w:tcMar>
              <w:top w:type="dxa" w:w="80"/>
              <w:left w:type="dxa" w:w="100"/>
              <w:bottom w:type="dxa" w:w="80"/>
              <w:right w:type="dxa" w:w="100"/>
            </w:tcMar>
          </w:tcPr>
          <w:p>
            <w:r>
              <w:rPr>
                <w:b/>
                <w:bCs/>
                <w:color w:val="FFFFFF"/>
                <w:sz w:val="18"/>
                <w:szCs w:val="18"/>
              </w:rPr>
              <w:t xml:space="preserve">Summary Verdict</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color w:val="000000"/>
                <w:sz w:val="18"/>
                <w:szCs w:val="18"/>
              </w:rPr>
              <w:t xml:space="preserve">Code Quality</w:t>
            </w:r>
          </w:p>
        </w:tc>
        <w:tc>
          <w:tcPr>
            <w:tcW w:type="dxa" w:w="2200"/>
            <w:tcBorders>
              <w:top w:val="single" w:color="CCCCCC" w:sz="1"/>
              <w:left w:val="single" w:color="CCCCCC" w:sz="1"/>
              <w:bottom w:val="single" w:color="CCCCCC" w:sz="1"/>
              <w:right w:val="single" w:color="CCCCCC" w:sz="1"/>
            </w:tcBorders>
            <w:shd w:fill="D5F0E0" w:val="clear"/>
            <w:tcMar>
              <w:top w:type="dxa" w:w="60"/>
              <w:left w:type="dxa" w:w="100"/>
              <w:bottom w:type="dxa" w:w="60"/>
              <w:right w:type="dxa" w:w="100"/>
            </w:tcMar>
          </w:tcPr>
          <w:p>
            <w:r>
              <w:rPr>
                <w:b/>
                <w:bCs/>
                <w:color w:val="1A7A4A"/>
                <w:sz w:val="18"/>
                <w:szCs w:val="18"/>
              </w:rPr>
              <w:t xml:space="preserve">8.4 / 10</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18"/>
                <w:szCs w:val="18"/>
              </w:rPr>
              <w:t xml:space="preserve">Disciplined, opinionated, self-auditing. Rare maturity.</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color w:val="000000"/>
                <w:sz w:val="18"/>
                <w:szCs w:val="18"/>
              </w:rPr>
              <w:t xml:space="preserve">Security</w:t>
            </w:r>
          </w:p>
        </w:tc>
        <w:tc>
          <w:tcPr>
            <w:tcW w:type="dxa" w:w="2200"/>
            <w:tcBorders>
              <w:top w:val="single" w:color="CCCCCC" w:sz="1"/>
              <w:left w:val="single" w:color="CCCCCC" w:sz="1"/>
              <w:bottom w:val="single" w:color="CCCCCC" w:sz="1"/>
              <w:right w:val="single" w:color="CCCCCC" w:sz="1"/>
            </w:tcBorders>
            <w:shd w:fill="D5F0E0" w:val="clear"/>
            <w:tcMar>
              <w:top w:type="dxa" w:w="60"/>
              <w:left w:type="dxa" w:w="100"/>
              <w:bottom w:type="dxa" w:w="60"/>
              <w:right w:type="dxa" w:w="100"/>
            </w:tcMar>
          </w:tcPr>
          <w:p>
            <w:r>
              <w:rPr>
                <w:b/>
                <w:bCs/>
                <w:color w:val="1A7A4A"/>
                <w:sz w:val="18"/>
                <w:szCs w:val="18"/>
              </w:rPr>
              <w:t xml:space="preserve">8.2 / 10</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18"/>
                <w:szCs w:val="18"/>
              </w:rPr>
              <w:t xml:space="preserve">Zero-Trust genuine. 2 open findings (MEDIUM/LOW).</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color w:val="000000"/>
                <w:sz w:val="18"/>
                <w:szCs w:val="18"/>
              </w:rPr>
              <w:t xml:space="preserve">Test Coverage</w:t>
            </w:r>
          </w:p>
        </w:tc>
        <w:tc>
          <w:tcPr>
            <w:tcW w:type="dxa" w:w="2200"/>
            <w:tcBorders>
              <w:top w:val="single" w:color="CCCCCC" w:sz="1"/>
              <w:left w:val="single" w:color="CCCCCC" w:sz="1"/>
              <w:bottom w:val="single" w:color="CCCCCC" w:sz="1"/>
              <w:right w:val="single" w:color="CCCCCC" w:sz="1"/>
            </w:tcBorders>
            <w:shd w:fill="D5F0E0" w:val="clear"/>
            <w:tcMar>
              <w:top w:type="dxa" w:w="60"/>
              <w:left w:type="dxa" w:w="100"/>
              <w:bottom w:type="dxa" w:w="60"/>
              <w:right w:type="dxa" w:w="100"/>
            </w:tcMar>
          </w:tcPr>
          <w:p>
            <w:r>
              <w:rPr>
                <w:b/>
                <w:bCs/>
                <w:color w:val="1A7A4A"/>
                <w:sz w:val="18"/>
                <w:szCs w:val="18"/>
              </w:rPr>
              <w:t xml:space="preserve">8.5 / 10</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18"/>
                <w:szCs w:val="18"/>
              </w:rPr>
              <w:t xml:space="preserve">80% threshold enforced. Daemon unit test gap remains.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color w:val="000000"/>
                <w:sz w:val="18"/>
                <w:szCs w:val="18"/>
              </w:rPr>
              <w:t xml:space="preserve">Performance</w:t>
            </w:r>
          </w:p>
        </w:tc>
        <w:tc>
          <w:tcPr>
            <w:tcW w:type="dxa" w:w="22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b/>
                <w:bCs/>
                <w:color w:val="D4680A"/>
                <w:sz w:val="18"/>
                <w:szCs w:val="18"/>
              </w:rPr>
              <w:t xml:space="preserve">7.8 / 10</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18"/>
                <w:szCs w:val="18"/>
              </w:rPr>
              <w:t xml:space="preserve">Lazy metabolism excellent. Batch payload overhead noted.</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color w:val="000000"/>
                <w:sz w:val="18"/>
                <w:szCs w:val="18"/>
              </w:rPr>
              <w:t xml:space="preserve">Documentation</w:t>
            </w:r>
          </w:p>
        </w:tc>
        <w:tc>
          <w:tcPr>
            <w:tcW w:type="dxa" w:w="2200"/>
            <w:tcBorders>
              <w:top w:val="single" w:color="CCCCCC" w:sz="1"/>
              <w:left w:val="single" w:color="CCCCCC" w:sz="1"/>
              <w:bottom w:val="single" w:color="CCCCCC" w:sz="1"/>
              <w:right w:val="single" w:color="CCCCCC" w:sz="1"/>
            </w:tcBorders>
            <w:shd w:fill="D5F0E0" w:val="clear"/>
            <w:tcMar>
              <w:top w:type="dxa" w:w="60"/>
              <w:left w:type="dxa" w:w="100"/>
              <w:bottom w:type="dxa" w:w="60"/>
              <w:right w:type="dxa" w:w="100"/>
            </w:tcMar>
          </w:tcPr>
          <w:p>
            <w:r>
              <w:rPr>
                <w:b/>
                <w:bCs/>
                <w:color w:val="1A7A4A"/>
                <w:sz w:val="18"/>
                <w:szCs w:val="18"/>
              </w:rPr>
              <w:t xml:space="preserve">9.1 / 10</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18"/>
                <w:szCs w:val="18"/>
              </w:rPr>
              <w:t xml:space="preserve">Exceptional for personal project. Bilingual. FSRS cited.</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color w:val="000000"/>
                <w:sz w:val="18"/>
                <w:szCs w:val="18"/>
              </w:rPr>
              <w:t xml:space="preserve">Architecture</w:t>
            </w:r>
          </w:p>
        </w:tc>
        <w:tc>
          <w:tcPr>
            <w:tcW w:type="dxa" w:w="2200"/>
            <w:tcBorders>
              <w:top w:val="single" w:color="CCCCCC" w:sz="1"/>
              <w:left w:val="single" w:color="CCCCCC" w:sz="1"/>
              <w:bottom w:val="single" w:color="CCCCCC" w:sz="1"/>
              <w:right w:val="single" w:color="CCCCCC" w:sz="1"/>
            </w:tcBorders>
            <w:shd w:fill="D5F0E0" w:val="clear"/>
            <w:tcMar>
              <w:top w:type="dxa" w:w="60"/>
              <w:left w:type="dxa" w:w="100"/>
              <w:bottom w:type="dxa" w:w="60"/>
              <w:right w:type="dxa" w:w="100"/>
            </w:tcMar>
          </w:tcPr>
          <w:p>
            <w:r>
              <w:rPr>
                <w:b/>
                <w:bCs/>
                <w:color w:val="1A7A4A"/>
                <w:sz w:val="18"/>
                <w:szCs w:val="18"/>
              </w:rPr>
              <w:t xml:space="preserve">8.0 / 10</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18"/>
                <w:szCs w:val="18"/>
              </w:rPr>
              <w:t xml:space="preserve">Conceptually bold. Swarm is coroutine-based (not distributed yet).</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color w:val="000000"/>
                <w:sz w:val="18"/>
                <w:szCs w:val="18"/>
              </w:rPr>
              <w:t xml:space="preserve">CI/CD &amp; DevOps</w:t>
            </w:r>
          </w:p>
        </w:tc>
        <w:tc>
          <w:tcPr>
            <w:tcW w:type="dxa" w:w="2200"/>
            <w:tcBorders>
              <w:top w:val="single" w:color="CCCCCC" w:sz="1"/>
              <w:left w:val="single" w:color="CCCCCC" w:sz="1"/>
              <w:bottom w:val="single" w:color="CCCCCC" w:sz="1"/>
              <w:right w:val="single" w:color="CCCCCC" w:sz="1"/>
            </w:tcBorders>
            <w:shd w:fill="D5F0E0" w:val="clear"/>
            <w:tcMar>
              <w:top w:type="dxa" w:w="60"/>
              <w:left w:type="dxa" w:w="100"/>
              <w:bottom w:type="dxa" w:w="60"/>
              <w:right w:type="dxa" w:w="100"/>
            </w:tcMar>
          </w:tcPr>
          <w:p>
            <w:r>
              <w:rPr>
                <w:b/>
                <w:bCs/>
                <w:color w:val="1A7A4A"/>
                <w:sz w:val="18"/>
                <w:szCs w:val="18"/>
              </w:rPr>
              <w:t xml:space="preserve">9.0 / 10</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18"/>
                <w:szCs w:val="18"/>
              </w:rPr>
              <w:t xml:space="preserve">py3.11-3.13 matrix, pip-audit blocking, integration gated.</w:t>
            </w:r>
          </w:p>
        </w:tc>
      </w:tr>
    </w:tbl>
    <w:p/>
    <w:p/>
    <w:p>
      <w:pPr>
        <w:pStyle w:val="Heading1"/>
      </w:pPr>
      <w:r>
        <w:rPr>
          <w:color w:val="1A3C5E"/>
        </w:rPr>
        <w:t xml:space="preserve">2. Project Overview &amp; Target Audience</w:t>
      </w:r>
    </w:p>
    <w:p>
      <w:pPr>
        <w:spacing w:after="120"/>
      </w:pPr>
      <w:r>
        <w:t xml:space="preserve">The Red Pill Protocol provides persistent, semantically-indexed memory across AI sessions without relying on any external cloud service. Its five Qdrant collection namespaces (work, social, directive, story, skill) map directly to cognitive memory categories. The B760-Adaptive Engine implements biologically-inspired memory dynamics: linear/exponential decay, emotion-weighted multipliers (Emotional Chroma), immunity thresholds, and synaptic propagation — all grounded in peer-reviewed cognitive science (Ebbinghaus, ACT-R, FSRS/DSR model by Wozniak).</w:t>
      </w:r>
    </w:p>
    <w:p/>
    <w:p>
      <w:pPr>
        <w:spacing w:after="120"/>
      </w:pPr>
      <w:r>
        <w:t xml:space="preserve">Target audience: individual power users, AI researchers, sovereign-stack developers. The GPLv3 license enforces strong copyleft, appropriate for a privacy-first personal tool. The core stack (Python 3.11–3.13, Qdrant, FastEmbed, Pydantic v2, Typer, uv, Ruff, mypy) is conservative and production-proven.</w:t>
      </w:r>
    </w:p>
    <w:p/>
    <w:p>
      <w:pPr>
        <w:pStyle w:val="Heading1"/>
      </w:pPr>
      <w:r>
        <w:rPr>
          <w:color w:val="1A3C5E"/>
        </w:rPr>
        <w:t xml:space="preserve">3. Code Quality Assessment</w:t>
      </w:r>
    </w:p>
    <w:p>
      <w:pPr>
        <w:pStyle w:val="Heading2"/>
      </w:pPr>
      <w:r>
        <w:rPr>
          <w:color w:val="1A3C5E"/>
        </w:rPr>
        <w:t xml:space="preserve">3.1 Structural &amp; Formatting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rPr>
          <w:tblHeader/>
        </w:trPr>
        <w:tc>
          <w:tcPr>
            <w:tcW w:type="dxa" w:w="2600"/>
            <w:tcBorders>
              <w:top w:val="single" w:color="CCCCCC" w:sz="1"/>
              <w:left w:val="single" w:color="CCCCCC" w:sz="1"/>
              <w:bottom w:val="single" w:color="CCCCCC" w:sz="1"/>
              <w:right w:val="single" w:color="CCCCCC" w:sz="1"/>
            </w:tcBorders>
            <w:shd w:fill="1A3C5E" w:val="clear"/>
            <w:tcMar>
              <w:top w:type="dxa" w:w="80"/>
              <w:left w:type="dxa" w:w="100"/>
              <w:bottom w:type="dxa" w:w="80"/>
              <w:right w:type="dxa" w:w="100"/>
            </w:tcMar>
          </w:tcPr>
          <w:p>
            <w:r>
              <w:rPr>
                <w:b/>
                <w:bCs/>
                <w:color w:val="FFFFFF"/>
                <w:sz w:val="18"/>
                <w:szCs w:val="18"/>
              </w:rPr>
              <w:t xml:space="preserve">Dimension</w:t>
            </w:r>
          </w:p>
        </w:tc>
        <w:tc>
          <w:tcPr>
            <w:tcW w:type="dxa" w:w="1400"/>
            <w:tcBorders>
              <w:top w:val="single" w:color="CCCCCC" w:sz="1"/>
              <w:left w:val="single" w:color="CCCCCC" w:sz="1"/>
              <w:bottom w:val="single" w:color="CCCCCC" w:sz="1"/>
              <w:right w:val="single" w:color="CCCCCC" w:sz="1"/>
            </w:tcBorders>
            <w:shd w:fill="1A3C5E" w:val="clear"/>
            <w:tcMar>
              <w:top w:type="dxa" w:w="80"/>
              <w:left w:type="dxa" w:w="100"/>
              <w:bottom w:type="dxa" w:w="80"/>
              <w:right w:type="dxa" w:w="100"/>
            </w:tcMar>
          </w:tcPr>
          <w:p>
            <w:r>
              <w:rPr>
                <w:b/>
                <w:bCs/>
                <w:color w:val="FFFFFF"/>
                <w:sz w:val="18"/>
                <w:szCs w:val="18"/>
              </w:rPr>
              <w:t xml:space="preserve">Score</w:t>
            </w:r>
          </w:p>
        </w:tc>
        <w:tc>
          <w:tcPr>
            <w:tcW w:type="dxa" w:w="5360"/>
            <w:tcBorders>
              <w:top w:val="single" w:color="CCCCCC" w:sz="1"/>
              <w:left w:val="single" w:color="CCCCCC" w:sz="1"/>
              <w:bottom w:val="single" w:color="CCCCCC" w:sz="1"/>
              <w:right w:val="single" w:color="CCCCCC" w:sz="1"/>
            </w:tcBorders>
            <w:shd w:fill="1A3C5E" w:val="clear"/>
            <w:tcMar>
              <w:top w:type="dxa" w:w="80"/>
              <w:left w:type="dxa" w:w="100"/>
              <w:bottom w:type="dxa" w:w="80"/>
              <w:right w:type="dxa" w:w="100"/>
            </w:tcMar>
          </w:tcPr>
          <w:p>
            <w:r>
              <w:rPr>
                <w:b/>
                <w:bCs/>
                <w:color w:val="FFFFFF"/>
                <w:sz w:val="18"/>
                <w:szCs w:val="18"/>
              </w:rPr>
              <w:t xml:space="preserve">Finding</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18"/>
                <w:szCs w:val="18"/>
              </w:rPr>
              <w:t xml:space="preserve">Indentation Protocol (Sound of Silence)</w:t>
            </w:r>
          </w:p>
        </w:tc>
        <w:tc>
          <w:tcPr>
            <w:tcW w:type="dxa" w:w="1400"/>
            <w:tcBorders>
              <w:top w:val="single" w:color="CCCCCC" w:sz="1"/>
              <w:left w:val="single" w:color="CCCCCC" w:sz="1"/>
              <w:bottom w:val="single" w:color="CCCCCC" w:sz="1"/>
              <w:right w:val="single" w:color="CCCCCC" w:sz="1"/>
            </w:tcBorders>
            <w:shd w:fill="D5F0E0" w:val="clear"/>
            <w:tcMar>
              <w:top w:type="dxa" w:w="60"/>
              <w:left w:type="dxa" w:w="100"/>
              <w:bottom w:type="dxa" w:w="60"/>
              <w:right w:type="dxa" w:w="100"/>
            </w:tcMar>
          </w:tcPr>
          <w:p>
            <w:r>
              <w:rPr>
                <w:b/>
                <w:bCs/>
                <w:color w:val="1A7A4A"/>
                <w:sz w:val="18"/>
                <w:szCs w:val="18"/>
              </w:rPr>
              <w:t xml:space="preserve">10/10</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18"/>
                <w:szCs w:val="18"/>
              </w:rPr>
              <w:t xml:space="preserve">Tabs-only rigorously enforced via Ruff + test_sound_of_silence.py. Zero violations.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18"/>
                <w:szCs w:val="18"/>
              </w:rPr>
              <w:t xml:space="preserve">Code Noise</w:t>
            </w:r>
          </w:p>
        </w:tc>
        <w:tc>
          <w:tcPr>
            <w:tcW w:type="dxa" w:w="1400"/>
            <w:tcBorders>
              <w:top w:val="single" w:color="CCCCCC" w:sz="1"/>
              <w:left w:val="single" w:color="CCCCCC" w:sz="1"/>
              <w:bottom w:val="single" w:color="CCCCCC" w:sz="1"/>
              <w:right w:val="single" w:color="CCCCCC" w:sz="1"/>
            </w:tcBorders>
            <w:shd w:fill="D5F0E0" w:val="clear"/>
            <w:tcMar>
              <w:top w:type="dxa" w:w="60"/>
              <w:left w:type="dxa" w:w="100"/>
              <w:bottom w:type="dxa" w:w="60"/>
              <w:right w:type="dxa" w:w="100"/>
            </w:tcMar>
          </w:tcPr>
          <w:p>
            <w:r>
              <w:rPr>
                <w:b/>
                <w:bCs/>
                <w:color w:val="1A7A4A"/>
                <w:sz w:val="18"/>
                <w:szCs w:val="18"/>
              </w:rPr>
              <w:t xml:space="preserve">9/10</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18"/>
                <w:szCs w:val="18"/>
              </w:rPr>
              <w:t xml:space="preserve">Dead code and ornamental comments systematically purged. Two # type: ignore in memory.py acceptable.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18"/>
                <w:szCs w:val="18"/>
              </w:rPr>
              <w:t xml:space="preserve">Function/Module Size</w:t>
            </w:r>
          </w:p>
        </w:tc>
        <w:tc>
          <w:tcPr>
            <w:tcW w:type="dxa" w:w="1400"/>
            <w:tcBorders>
              <w:top w:val="single" w:color="CCCCCC" w:sz="1"/>
              <w:left w:val="single" w:color="CCCCCC" w:sz="1"/>
              <w:bottom w:val="single" w:color="CCCCCC" w:sz="1"/>
              <w:right w:val="single" w:color="CCCCCC" w:sz="1"/>
            </w:tcBorders>
            <w:shd w:fill="D5F0E0" w:val="clear"/>
            <w:tcMar>
              <w:top w:type="dxa" w:w="60"/>
              <w:left w:type="dxa" w:w="100"/>
              <w:bottom w:type="dxa" w:w="60"/>
              <w:right w:type="dxa" w:w="100"/>
            </w:tcMar>
          </w:tcPr>
          <w:p>
            <w:r>
              <w:rPr>
                <w:b/>
                <w:bCs/>
                <w:color w:val="1A7A4A"/>
                <w:sz w:val="18"/>
                <w:szCs w:val="18"/>
              </w:rPr>
              <w:t xml:space="preserve">8/10</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18"/>
                <w:szCs w:val="18"/>
              </w:rPr>
              <w:t xml:space="preserve">No god-objects. apply_erosion() and search_and_reinforce() complex but logically contained.</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18"/>
                <w:szCs w:val="18"/>
              </w:rPr>
              <w:t xml:space="preserve">Type Annotations</w:t>
            </w:r>
          </w:p>
        </w:tc>
        <w:tc>
          <w:tcPr>
            <w:tcW w:type="dxa" w:w="1400"/>
            <w:tcBorders>
              <w:top w:val="single" w:color="CCCCCC" w:sz="1"/>
              <w:left w:val="single" w:color="CCCCCC" w:sz="1"/>
              <w:bottom w:val="single" w:color="CCCCCC" w:sz="1"/>
              <w:right w:val="single" w:color="CCCCCC" w:sz="1"/>
            </w:tcBorders>
            <w:shd w:fill="D5F0E0" w:val="clear"/>
            <w:tcMar>
              <w:top w:type="dxa" w:w="60"/>
              <w:left w:type="dxa" w:w="100"/>
              <w:bottom w:type="dxa" w:w="60"/>
              <w:right w:type="dxa" w:w="100"/>
            </w:tcMar>
          </w:tcPr>
          <w:p>
            <w:r>
              <w:rPr>
                <w:b/>
                <w:bCs/>
                <w:color w:val="1A7A4A"/>
                <w:sz w:val="18"/>
                <w:szCs w:val="18"/>
              </w:rPr>
              <w:t xml:space="preserve">8/10</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18"/>
                <w:szCs w:val="18"/>
              </w:rPr>
              <w:t xml:space="preserve">mypy coverage present. TextEmbedding = Any fallback in ImportError block pragmatic but weakly typed.</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18"/>
                <w:szCs w:val="18"/>
              </w:rPr>
              <w:t xml:space="preserve">Naming Conventions</w:t>
            </w:r>
          </w:p>
        </w:tc>
        <w:tc>
          <w:tcPr>
            <w:tcW w:type="dxa" w:w="1400"/>
            <w:tcBorders>
              <w:top w:val="single" w:color="CCCCCC" w:sz="1"/>
              <w:left w:val="single" w:color="CCCCCC" w:sz="1"/>
              <w:bottom w:val="single" w:color="CCCCCC" w:sz="1"/>
              <w:right w:val="single" w:color="CCCCCC" w:sz="1"/>
            </w:tcBorders>
            <w:shd w:fill="D5F0E0" w:val="clear"/>
            <w:tcMar>
              <w:top w:type="dxa" w:w="60"/>
              <w:left w:type="dxa" w:w="100"/>
              <w:bottom w:type="dxa" w:w="60"/>
              <w:right w:type="dxa" w:w="100"/>
            </w:tcMar>
          </w:tcPr>
          <w:p>
            <w:r>
              <w:rPr>
                <w:b/>
                <w:bCs/>
                <w:color w:val="1A7A4A"/>
                <w:sz w:val="18"/>
                <w:szCs w:val="18"/>
              </w:rPr>
              <w:t xml:space="preserve">9/10</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18"/>
                <w:szCs w:val="18"/>
              </w:rPr>
              <w:t xml:space="preserve">Consistent snake_case. Domain terminology (engram, erosion, immune) applied uniformly.</w:t>
            </w:r>
          </w:p>
        </w:tc>
      </w:tr>
    </w:tbl>
    <w:p/>
    <w:p>
      <w:pPr>
        <w:pStyle w:val="Heading2"/>
      </w:pPr>
      <w:r>
        <w:rPr>
          <w:color w:val="1A3C5E"/>
        </w:rPr>
        <w:t xml:space="preserve">3.2 Notable Strengths</w:t>
      </w:r>
    </w:p>
    <w:p>
      <w:pPr>
        <w:spacing w:after="120"/>
      </w:pPr>
      <w:r>
        <w:t xml:space="preserve">_mask_pii_exception(): A production-grade utility preventing payload data from bleeding into log streams — rare and praiseworthy in a personal project.</w:t>
      </w:r>
    </w:p>
    <w:p>
      <w:pPr>
        <w:spacing w:after="120"/>
      </w:pPr>
      <w:r>
        <w:t xml:space="preserve">Lock Scope Optimization in _reinforce_points(): I/O (Qdrant retrieval) placed outside the threading.Lock(). Lock applied only to score arithmetic. Textbook concurrent programming discipline.</w:t>
      </w:r>
    </w:p>
    <w:p>
      <w:pPr>
        <w:spacing w:after="120"/>
      </w:pPr>
      <w:r>
        <w:t xml:space="preserve">Absence Guard Protocol: TTL-refresh logic on long idle gaps (&gt;7 days) solves the real-world 'vacation data loss' problem elegantly. Genuine novelty.</w:t>
      </w:r>
    </w:p>
    <w:p>
      <w:pPr>
        <w:spacing w:after="120"/>
      </w:pPr>
      <w:r>
        <w:t xml:space="preserve">MAX_PROPAGATION_POINTS circuit-breaker: Prevents a hub-node query from triggering a catastrophic fan-out update storm. The 20-axon cap in schemas.py is a necessary complement.</w:t>
      </w:r>
    </w:p>
    <w:p>
      <w:pPr>
        <w:spacing w:after="120"/>
      </w:pPr>
      <w:r>
        <w:t xml:space="preserve">fcntl.flock() on the metabolism state file: Cross-process locking correctly OS-gated with a Windows fallback. Solid.</w:t>
      </w:r>
    </w:p>
    <w:p/>
    <w:p>
      <w:pPr>
        <w:pStyle w:val="Heading2"/>
      </w:pPr>
      <w:r>
        <w:rPr>
          <w:color w:val="1A3C5E"/>
        </w:rPr>
        <w:t xml:space="preserve">3.3 Minor Code Quality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200"/>
        <w:gridCol w:w="7060"/>
      </w:tblGrid>
      <w:tr>
        <w:trPr>
          <w:tblHeader/>
        </w:trPr>
        <w:tc>
          <w:tcPr>
            <w:tcW w:type="dxa" w:w="1100"/>
            <w:tcBorders>
              <w:top w:val="single" w:color="CCCCCC" w:sz="1"/>
              <w:left w:val="single" w:color="CCCCCC" w:sz="1"/>
              <w:bottom w:val="single" w:color="CCCCCC" w:sz="1"/>
              <w:right w:val="single" w:color="CCCCCC" w:sz="1"/>
            </w:tcBorders>
            <w:shd w:fill="1A3C5E" w:val="clear"/>
            <w:tcMar>
              <w:top w:type="dxa" w:w="80"/>
              <w:left w:type="dxa" w:w="100"/>
              <w:bottom w:type="dxa" w:w="80"/>
              <w:right w:type="dxa" w:w="100"/>
            </w:tcMar>
          </w:tcPr>
          <w:p>
            <w:r>
              <w:rPr>
                <w:b/>
                <w:bCs/>
                <w:color w:val="FFFFFF"/>
                <w:sz w:val="18"/>
                <w:szCs w:val="18"/>
              </w:rPr>
              <w:t xml:space="preserve">ID</w:t>
            </w:r>
          </w:p>
        </w:tc>
        <w:tc>
          <w:tcPr>
            <w:tcW w:type="dxa" w:w="1200"/>
            <w:tcBorders>
              <w:top w:val="single" w:color="CCCCCC" w:sz="1"/>
              <w:left w:val="single" w:color="CCCCCC" w:sz="1"/>
              <w:bottom w:val="single" w:color="CCCCCC" w:sz="1"/>
              <w:right w:val="single" w:color="CCCCCC" w:sz="1"/>
            </w:tcBorders>
            <w:shd w:fill="1A3C5E" w:val="clear"/>
            <w:tcMar>
              <w:top w:type="dxa" w:w="80"/>
              <w:left w:type="dxa" w:w="100"/>
              <w:bottom w:type="dxa" w:w="80"/>
              <w:right w:type="dxa" w:w="100"/>
            </w:tcMar>
          </w:tcPr>
          <w:p>
            <w:r>
              <w:rPr>
                <w:b/>
                <w:bCs/>
                <w:color w:val="FFFFFF"/>
                <w:sz w:val="18"/>
                <w:szCs w:val="18"/>
              </w:rPr>
              <w:t xml:space="preserve">Priority</w:t>
            </w:r>
          </w:p>
        </w:tc>
        <w:tc>
          <w:tcPr>
            <w:tcW w:type="dxa" w:w="7060"/>
            <w:tcBorders>
              <w:top w:val="single" w:color="CCCCCC" w:sz="1"/>
              <w:left w:val="single" w:color="CCCCCC" w:sz="1"/>
              <w:bottom w:val="single" w:color="CCCCCC" w:sz="1"/>
              <w:right w:val="single" w:color="CCCCCC" w:sz="1"/>
            </w:tcBorders>
            <w:shd w:fill="1A3C5E" w:val="clear"/>
            <w:tcMar>
              <w:top w:type="dxa" w:w="80"/>
              <w:left w:type="dxa" w:w="100"/>
              <w:bottom w:type="dxa" w:w="80"/>
              <w:right w:type="dxa" w:w="100"/>
            </w:tcMar>
          </w:tcPr>
          <w:p>
            <w:r>
              <w:rPr>
                <w:b/>
                <w:bCs/>
                <w:color w:val="FFFFFF"/>
                <w:sz w:val="18"/>
                <w:szCs w:val="18"/>
              </w:rPr>
              <w:t xml:space="preserve">Finding</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18"/>
                <w:szCs w:val="18"/>
              </w:rPr>
              <w:t xml:space="preserve">CQ-001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18"/>
                <w:szCs w:val="18"/>
              </w:rPr>
              <w:t xml:space="preserve">Low</w:t>
            </w:r>
          </w:p>
        </w:tc>
        <w:tc>
          <w:tcPr>
            <w:tcW w:type="dxa" w:w="7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18"/>
                <w:szCs w:val="18"/>
              </w:rPr>
              <w:t xml:space="preserve">In _run_metabolism_cycle, the absence-guard branch runs TTL refresh before erosion but does not short-circuit. The first post-vacation cycle still erodes freshly-refreshed engrams. Add a return after the refresh loop.</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18"/>
                <w:szCs w:val="18"/>
              </w:rPr>
              <w:t xml:space="preserve">CQ-002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18"/>
                <w:szCs w:val="18"/>
              </w:rPr>
              <w:t xml:space="preserve">Low</w:t>
            </w:r>
          </w:p>
        </w:tc>
        <w:tc>
          <w:tcPr>
            <w:tcW w:type="dxa" w:w="7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18"/>
                <w:szCs w:val="18"/>
              </w:rPr>
              <w:t xml:space="preserve">sanitize() uses a truncated SHA-256 hash for deduplication ([:32] = 128-bit). Collision risk is astronomically low but using the full 64-char digest would be more canonical.</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18"/>
                <w:szCs w:val="18"/>
              </w:rPr>
              <w:t xml:space="preserve">CQ-003</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18"/>
                <w:szCs w:val="18"/>
              </w:rPr>
              <w:t xml:space="preserve">Low</w:t>
            </w:r>
          </w:p>
        </w:tc>
        <w:tc>
          <w:tcPr>
            <w:tcW w:type="dxa" w:w="7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18"/>
                <w:szCs w:val="18"/>
              </w:rPr>
              <w:t xml:space="preserve">Deep Recall trigger detection resolved to exact-phrase/word-boundary matching in v5.6.1 — CLOSED per CHANGELOG. Confirm full regression test coverage.</w:t>
            </w:r>
          </w:p>
        </w:tc>
      </w:tr>
    </w:tbl>
    <w:p/>
    <w:p>
      <w:pPr>
        <w:pStyle w:val="Heading1"/>
      </w:pPr>
      <w:r>
        <w:rPr>
          <w:color w:val="1A3C5E"/>
        </w:rPr>
        <w:t xml:space="preserve">4. Security Audit</w:t>
      </w:r>
    </w:p>
    <w:p>
      <w:pPr>
        <w:spacing w:after="120"/>
      </w:pPr>
      <w:r>
        <w:t xml:space="preserve">Overall Security Score: 8.2 / 10. The codebase has undergone multiple explicit security remediation cycles (LM-001 through LM-009, Class-4 audit). The Zero-Trust posture is genuine, not performative. The Be Water tiered security model (NONE / ADAPTIVE / MAXIMUM) is well-conceived, though it creates a documentation burden to ensure operators understand the risk profile of each tier.</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400"/>
        <w:gridCol w:w="1500"/>
        <w:gridCol w:w="5360"/>
      </w:tblGrid>
      <w:tr>
        <w:trPr>
          <w:tblHeader/>
        </w:trPr>
        <w:tc>
          <w:tcPr>
            <w:tcW w:type="dxa" w:w="1100"/>
            <w:tcBorders>
              <w:top w:val="single" w:color="CCCCCC" w:sz="1"/>
              <w:left w:val="single" w:color="CCCCCC" w:sz="1"/>
              <w:bottom w:val="single" w:color="CCCCCC" w:sz="1"/>
              <w:right w:val="single" w:color="CCCCCC" w:sz="1"/>
            </w:tcBorders>
            <w:shd w:fill="1A3C5E" w:val="clear"/>
            <w:tcMar>
              <w:top w:type="dxa" w:w="80"/>
              <w:left w:type="dxa" w:w="100"/>
              <w:bottom w:type="dxa" w:w="80"/>
              <w:right w:type="dxa" w:w="100"/>
            </w:tcMar>
          </w:tcPr>
          <w:p>
            <w:r>
              <w:rPr>
                <w:b/>
                <w:bCs/>
                <w:color w:val="FFFFFF"/>
                <w:sz w:val="18"/>
                <w:szCs w:val="18"/>
              </w:rPr>
              <w:t xml:space="preserve">ID</w:t>
            </w:r>
          </w:p>
        </w:tc>
        <w:tc>
          <w:tcPr>
            <w:tcW w:type="dxa" w:w="1400"/>
            <w:tcBorders>
              <w:top w:val="single" w:color="CCCCCC" w:sz="1"/>
              <w:left w:val="single" w:color="CCCCCC" w:sz="1"/>
              <w:bottom w:val="single" w:color="CCCCCC" w:sz="1"/>
              <w:right w:val="single" w:color="CCCCCC" w:sz="1"/>
            </w:tcBorders>
            <w:shd w:fill="1A3C5E" w:val="clear"/>
            <w:tcMar>
              <w:top w:type="dxa" w:w="80"/>
              <w:left w:type="dxa" w:w="100"/>
              <w:bottom w:type="dxa" w:w="80"/>
              <w:right w:type="dxa" w:w="100"/>
            </w:tcMar>
          </w:tcPr>
          <w:p>
            <w:r>
              <w:rPr>
                <w:b/>
                <w:bCs/>
                <w:color w:val="FFFFFF"/>
                <w:sz w:val="18"/>
                <w:szCs w:val="18"/>
              </w:rPr>
              <w:t xml:space="preserve">Severity</w:t>
            </w:r>
          </w:p>
        </w:tc>
        <w:tc>
          <w:tcPr>
            <w:tcW w:type="dxa" w:w="1500"/>
            <w:tcBorders>
              <w:top w:val="single" w:color="CCCCCC" w:sz="1"/>
              <w:left w:val="single" w:color="CCCCCC" w:sz="1"/>
              <w:bottom w:val="single" w:color="CCCCCC" w:sz="1"/>
              <w:right w:val="single" w:color="CCCCCC" w:sz="1"/>
            </w:tcBorders>
            <w:shd w:fill="1A3C5E" w:val="clear"/>
            <w:tcMar>
              <w:top w:type="dxa" w:w="80"/>
              <w:left w:type="dxa" w:w="100"/>
              <w:bottom w:type="dxa" w:w="80"/>
              <w:right w:type="dxa" w:w="100"/>
            </w:tcMar>
          </w:tcPr>
          <w:p>
            <w:r>
              <w:rPr>
                <w:b/>
                <w:bCs/>
                <w:color w:val="FFFFFF"/>
                <w:sz w:val="18"/>
                <w:szCs w:val="18"/>
              </w:rPr>
              <w:t xml:space="preserve">Status</w:t>
            </w:r>
          </w:p>
        </w:tc>
        <w:tc>
          <w:tcPr>
            <w:tcW w:type="dxa" w:w="5360"/>
            <w:tcBorders>
              <w:top w:val="single" w:color="CCCCCC" w:sz="1"/>
              <w:left w:val="single" w:color="CCCCCC" w:sz="1"/>
              <w:bottom w:val="single" w:color="CCCCCC" w:sz="1"/>
              <w:right w:val="single" w:color="CCCCCC" w:sz="1"/>
            </w:tcBorders>
            <w:shd w:fill="1A3C5E" w:val="clear"/>
            <w:tcMar>
              <w:top w:type="dxa" w:w="80"/>
              <w:left w:type="dxa" w:w="100"/>
              <w:bottom w:type="dxa" w:w="80"/>
              <w:right w:type="dxa" w:w="100"/>
            </w:tcMar>
          </w:tcPr>
          <w:p>
            <w:r>
              <w:rPr>
                <w:b/>
                <w:bCs/>
                <w:color w:val="FFFFFF"/>
                <w:sz w:val="18"/>
                <w:szCs w:val="18"/>
              </w:rPr>
              <w:t xml:space="preserve">Finding</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18"/>
                <w:szCs w:val="18"/>
              </w:rPr>
              <w:t xml:space="preserve">SEC-001</w:t>
            </w:r>
          </w:p>
        </w:tc>
        <w:tc>
          <w:tcPr>
            <w:tcW w:type="dxa" w:w="1400"/>
            <w:tcBorders>
              <w:top w:val="single" w:color="CCCCCC" w:sz="1"/>
              <w:left w:val="single" w:color="CCCCCC" w:sz="1"/>
              <w:bottom w:val="single" w:color="CCCCCC" w:sz="1"/>
              <w:right w:val="single" w:color="CCCCCC" w:sz="1"/>
            </w:tcBorders>
            <w:shd w:fill="D5F0E0" w:val="clear"/>
            <w:tcMar>
              <w:top w:type="dxa" w:w="60"/>
              <w:left w:type="dxa" w:w="100"/>
              <w:bottom w:type="dxa" w:w="60"/>
              <w:right w:type="dxa" w:w="100"/>
            </w:tcMar>
          </w:tcPr>
          <w:p>
            <w:r>
              <w:rPr>
                <w:b/>
                <w:bCs/>
                <w:color w:val="1A7A4A"/>
                <w:sz w:val="18"/>
                <w:szCs w:val="18"/>
              </w:rPr>
              <w:t xml:space="preserve">HIGH</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bCs/>
                <w:color w:val="1A7A4A"/>
                <w:sz w:val="18"/>
                <w:szCs w:val="18"/>
              </w:rPr>
              <w:t xml:space="preserve">✅ CLOSED</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18"/>
                <w:szCs w:val="18"/>
              </w:rPr>
              <w:t xml:space="preserve">Metadata injection fully mitigated. Reserved keys stripped pre- and post-validation (defense-in-depth).</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18"/>
                <w:szCs w:val="18"/>
              </w:rPr>
              <w:t xml:space="preserve">SEC-002</w:t>
            </w:r>
          </w:p>
        </w:tc>
        <w:tc>
          <w:tcPr>
            <w:tcW w:type="dxa" w:w="1400"/>
            <w:tcBorders>
              <w:top w:val="single" w:color="CCCCCC" w:sz="1"/>
              <w:left w:val="single" w:color="CCCCCC" w:sz="1"/>
              <w:bottom w:val="single" w:color="CCCCCC" w:sz="1"/>
              <w:right w:val="single" w:color="CCCCCC" w:sz="1"/>
            </w:tcBorders>
            <w:shd w:fill="D5F0E0" w:val="clear"/>
            <w:tcMar>
              <w:top w:type="dxa" w:w="60"/>
              <w:left w:type="dxa" w:w="100"/>
              <w:bottom w:type="dxa" w:w="60"/>
              <w:right w:type="dxa" w:w="100"/>
            </w:tcMar>
          </w:tcPr>
          <w:p>
            <w:r>
              <w:rPr>
                <w:b/>
                <w:bCs/>
                <w:color w:val="1A7A4A"/>
                <w:sz w:val="18"/>
                <w:szCs w:val="18"/>
              </w:rPr>
              <w:t xml:space="preserve">HIGH</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bCs/>
                <w:color w:val="1A7A4A"/>
                <w:sz w:val="18"/>
                <w:szCs w:val="18"/>
              </w:rPr>
              <w:t xml:space="preserve">✅ CLOSED</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18"/>
                <w:szCs w:val="18"/>
              </w:rPr>
              <w:t xml:space="preserve">HMAC shared-secret with hmac.compare_digest() (constant-time). Length-prefixed framing (4-byte header) prevents boundary attacks.</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18"/>
                <w:szCs w:val="18"/>
              </w:rPr>
              <w:t xml:space="preserve">SEC-003</w:t>
            </w:r>
          </w:p>
        </w:tc>
        <w:tc>
          <w:tcPr>
            <w:tcW w:type="dxa" w:w="1400"/>
            <w:tcBorders>
              <w:top w:val="single" w:color="CCCCCC" w:sz="1"/>
              <w:left w:val="single" w:color="CCCCCC" w:sz="1"/>
              <w:bottom w:val="single" w:color="CCCCCC" w:sz="1"/>
              <w:right w:val="single" w:color="CCCCCC" w:sz="1"/>
            </w:tcBorders>
            <w:shd w:fill="D5F0E0" w:val="clear"/>
            <w:tcMar>
              <w:top w:type="dxa" w:w="60"/>
              <w:left w:type="dxa" w:w="100"/>
              <w:bottom w:type="dxa" w:w="60"/>
              <w:right w:type="dxa" w:w="100"/>
            </w:tcMar>
          </w:tcPr>
          <w:p>
            <w:r>
              <w:rPr>
                <w:b/>
                <w:bCs/>
                <w:color w:val="1A7A4A"/>
                <w:sz w:val="18"/>
                <w:szCs w:val="18"/>
              </w:rPr>
              <w:t xml:space="preserve">HIGH</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bCs/>
                <w:color w:val="1A7A4A"/>
                <w:sz w:val="18"/>
                <w:szCs w:val="18"/>
              </w:rPr>
              <w:t xml:space="preserve">✅ CLOSED</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18"/>
                <w:szCs w:val="18"/>
              </w:rPr>
              <w:t xml:space="preserve">Unix socket permissions 0o600 applied immediately after bind(). Socket in XDG_RUNTIME_DIR with 0700 directory permissions.</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18"/>
                <w:szCs w:val="18"/>
              </w:rPr>
              <w:t xml:space="preserve">SEC-004</w:t>
            </w:r>
          </w:p>
        </w:tc>
        <w:tc>
          <w:tcPr>
            <w:tcW w:type="dxa" w:w="14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b/>
                <w:bCs/>
                <w:color w:val="D4680A"/>
                <w:sz w:val="18"/>
                <w:szCs w:val="18"/>
              </w:rPr>
              <w:t xml:space="preserve">MEDIUM</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bCs/>
                <w:color w:val="D4680A"/>
                <w:sz w:val="18"/>
                <w:szCs w:val="18"/>
              </w:rPr>
              <w:t xml:space="preserve">⚠️ OPEN</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18"/>
                <w:szCs w:val="18"/>
              </w:rPr>
              <w:t xml:space="preserve">QDRANT_API_KEY reuse as sidecar auth token noted in prior audit — CHANGELOG states SIDECAR_AUTH_KEY is now decoupled in v5.6.1. Verify .env.example and config.py are fully separated.</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18"/>
                <w:szCs w:val="18"/>
              </w:rPr>
              <w:t xml:space="preserve">SEC-005</w:t>
            </w:r>
          </w:p>
        </w:tc>
        <w:tc>
          <w:tcPr>
            <w:tcW w:type="dxa" w:w="1400"/>
            <w:tcBorders>
              <w:top w:val="single" w:color="CCCCCC" w:sz="1"/>
              <w:left w:val="single" w:color="CCCCCC" w:sz="1"/>
              <w:bottom w:val="single" w:color="CCCCCC" w:sz="1"/>
              <w:right w:val="single" w:color="CCCCCC" w:sz="1"/>
            </w:tcBorders>
            <w:shd w:fill="D5F0E0" w:val="clear"/>
            <w:tcMar>
              <w:top w:type="dxa" w:w="60"/>
              <w:left w:type="dxa" w:w="100"/>
              <w:bottom w:type="dxa" w:w="60"/>
              <w:right w:type="dxa" w:w="100"/>
            </w:tcMar>
          </w:tcPr>
          <w:p>
            <w:r>
              <w:rPr>
                <w:b/>
                <w:bCs/>
                <w:color w:val="1A7A4A"/>
                <w:sz w:val="18"/>
                <w:szCs w:val="18"/>
              </w:rPr>
              <w:t xml:space="preserve">MEDIUM</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bCs/>
                <w:color w:val="1A7A4A"/>
                <w:sz w:val="18"/>
                <w:szCs w:val="18"/>
              </w:rPr>
              <w:t xml:space="preserve">✅ CLOSED</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18"/>
                <w:szCs w:val="18"/>
              </w:rPr>
              <w:t xml:space="preserve">PII in logs: _mask_pii_exception() truncates exception messages at 150 chars. Applied consistently across all Qdrant I/O handlers.</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18"/>
                <w:szCs w:val="18"/>
              </w:rPr>
              <w:t xml:space="preserve">SEC-006</w:t>
            </w:r>
          </w:p>
        </w:tc>
        <w:tc>
          <w:tcPr>
            <w:tcW w:type="dxa" w:w="1400"/>
            <w:tcBorders>
              <w:top w:val="single" w:color="CCCCCC" w:sz="1"/>
              <w:left w:val="single" w:color="CCCCCC" w:sz="1"/>
              <w:bottom w:val="single" w:color="CCCCCC" w:sz="1"/>
              <w:right w:val="single" w:color="CCCCCC" w:sz="1"/>
            </w:tcBorders>
            <w:shd w:fill="D5F0E0" w:val="clear"/>
            <w:tcMar>
              <w:top w:type="dxa" w:w="60"/>
              <w:left w:type="dxa" w:w="100"/>
              <w:bottom w:type="dxa" w:w="60"/>
              <w:right w:type="dxa" w:w="100"/>
            </w:tcMar>
          </w:tcPr>
          <w:p>
            <w:r>
              <w:rPr>
                <w:b/>
                <w:bCs/>
                <w:color w:val="1A7A4A"/>
                <w:sz w:val="18"/>
                <w:szCs w:val="18"/>
              </w:rPr>
              <w:t xml:space="preserve">MEDIUM</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bCs/>
                <w:color w:val="1A7A4A"/>
                <w:sz w:val="18"/>
                <w:szCs w:val="18"/>
              </w:rPr>
              <w:t xml:space="preserve">✅ CLOSED</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18"/>
                <w:szCs w:val="18"/>
              </w:rPr>
              <w:t xml:space="preserve">GPG passphrase fallback /dev/tty insecure path removed from export_soul.sh.</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18"/>
                <w:szCs w:val="18"/>
              </w:rPr>
              <w:t xml:space="preserve">SEC-007</w:t>
            </w:r>
          </w:p>
        </w:tc>
        <w:tc>
          <w:tcPr>
            <w:tcW w:type="dxa" w:w="1400"/>
            <w:tcBorders>
              <w:top w:val="single" w:color="CCCCCC" w:sz="1"/>
              <w:left w:val="single" w:color="CCCCCC" w:sz="1"/>
              <w:bottom w:val="single" w:color="CCCCCC" w:sz="1"/>
              <w:right w:val="single" w:color="CCCCCC" w:sz="1"/>
            </w:tcBorders>
            <w:shd w:fill="D5F0E0" w:val="clear"/>
            <w:tcMar>
              <w:top w:type="dxa" w:w="60"/>
              <w:left w:type="dxa" w:w="100"/>
              <w:bottom w:type="dxa" w:w="60"/>
              <w:right w:type="dxa" w:w="100"/>
            </w:tcMar>
          </w:tcPr>
          <w:p>
            <w:r>
              <w:rPr>
                <w:b/>
                <w:bCs/>
                <w:color w:val="1A7A4A"/>
                <w:sz w:val="18"/>
                <w:szCs w:val="18"/>
              </w:rPr>
              <w:t xml:space="preserve">MEDIUM</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bCs/>
                <w:color w:val="1A7A4A"/>
                <w:sz w:val="18"/>
                <w:szCs w:val="18"/>
              </w:rPr>
              <w:t xml:space="preserve">✅ CLOSED</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18"/>
                <w:szCs w:val="18"/>
              </w:rPr>
              <w:t xml:space="preserve">Path traversal in bash scripts: env_loader.sh and restore_all.sh use explicit allowlists for IA_DIR paths.</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18"/>
                <w:szCs w:val="18"/>
              </w:rPr>
              <w:t xml:space="preserve">SEC-008</w:t>
            </w:r>
          </w:p>
        </w:tc>
        <w:tc>
          <w:tcPr>
            <w:tcW w:type="dxa" w:w="1400"/>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tcPr>
          <w:p>
            <w:r>
              <w:rPr>
                <w:b/>
                <w:bCs/>
                <w:color w:val="C0392B"/>
                <w:sz w:val="18"/>
                <w:szCs w:val="18"/>
              </w:rPr>
              <w:t xml:space="preserve">LOW</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bCs/>
                <w:color w:val="C0392B"/>
                <w:sz w:val="18"/>
                <w:szCs w:val="18"/>
              </w:rPr>
              <w:t xml:space="preserve">⚠️ OPEN</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18"/>
                <w:szCs w:val="18"/>
              </w:rPr>
              <w:t xml:space="preserve">Null-byte injection: content validator rejects \x00. Metadata string values are not null-byte checked beyond length limit. Extend no_null_bytes validator to all metadata string values.</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18"/>
                <w:szCs w:val="18"/>
              </w:rPr>
              <w:t xml:space="preserve">SEC-009</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18"/>
                <w:szCs w:val="18"/>
              </w:rPr>
              <w:t xml:space="preserve">INFO</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bCs/>
                <w:color w:val="666666"/>
                <w:sz w:val="18"/>
                <w:szCs w:val="18"/>
              </w:rPr>
              <w:t xml:space="preserve">ℹ️ INFO</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18"/>
                <w:szCs w:val="18"/>
              </w:rPr>
              <w:t xml:space="preserve">Transport encryption: Qdrant runs on HTTP (localhost). Acceptable for local deployments. Remote deployments MUST use QDRANT_SCHEME=https — document as mandatory in QUICKSTART.</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18"/>
                <w:szCs w:val="18"/>
              </w:rPr>
              <w:t xml:space="preserve">SEC-010</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18"/>
                <w:szCs w:val="18"/>
              </w:rPr>
              <w:t xml:space="preserve">INFO</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b/>
                <w:bCs/>
                <w:color w:val="666666"/>
                <w:sz w:val="18"/>
                <w:szCs w:val="18"/>
              </w:rPr>
              <w:t xml:space="preserve">ℹ️ INFO</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18"/>
                <w:szCs w:val="18"/>
              </w:rPr>
              <w:t xml:space="preserve">Encryption at rest: No native encryption for the Qdrant storage volume. A pre-flight check script warning when storage is not on an encrypted volume is recommended (partially implemented in memory_daemon.py).</w:t>
            </w:r>
          </w:p>
        </w:tc>
      </w:tr>
    </w:tbl>
    <w:p/>
    <w:p>
      <w:pPr>
        <w:pStyle w:val="Heading1"/>
      </w:pPr>
      <w:r>
        <w:rPr>
          <w:color w:val="1A3C5E"/>
        </w:rPr>
        <w:t xml:space="preserve">5. Test Coverage &amp; Quality</w:t>
      </w:r>
    </w:p>
    <w:p>
      <w:pPr>
        <w:spacing w:after="120"/>
      </w:pPr>
      <w:r>
        <w:t xml:space="preserve">Overall Test Score: 8.5 / 10. Coverage threshold of 80% enforced in CI. The test suite is sophisticated and operationally valuable beyond mere coverage metrics.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60"/>
        <w:gridCol w:w="3900"/>
      </w:tblGrid>
      <w:tr>
        <w:trPr>
          <w:tblHeader/>
        </w:trPr>
        <w:tc>
          <w:tcPr>
            <w:tcW w:type="dxa" w:w="2400"/>
            <w:tcBorders>
              <w:top w:val="single" w:color="CCCCCC" w:sz="1"/>
              <w:left w:val="single" w:color="CCCCCC" w:sz="1"/>
              <w:bottom w:val="single" w:color="CCCCCC" w:sz="1"/>
              <w:right w:val="single" w:color="CCCCCC" w:sz="1"/>
            </w:tcBorders>
            <w:shd w:fill="1A3C5E" w:val="clear"/>
            <w:tcMar>
              <w:top w:type="dxa" w:w="80"/>
              <w:left w:type="dxa" w:w="100"/>
              <w:bottom w:type="dxa" w:w="80"/>
              <w:right w:type="dxa" w:w="100"/>
            </w:tcMar>
          </w:tcPr>
          <w:p>
            <w:r>
              <w:rPr>
                <w:b/>
                <w:bCs/>
                <w:color w:val="FFFFFF"/>
                <w:sz w:val="18"/>
                <w:szCs w:val="18"/>
              </w:rPr>
              <w:t xml:space="preserve">Test Module</w:t>
            </w:r>
          </w:p>
        </w:tc>
        <w:tc>
          <w:tcPr>
            <w:tcW w:type="dxa" w:w="3060"/>
            <w:tcBorders>
              <w:top w:val="single" w:color="CCCCCC" w:sz="1"/>
              <w:left w:val="single" w:color="CCCCCC" w:sz="1"/>
              <w:bottom w:val="single" w:color="CCCCCC" w:sz="1"/>
              <w:right w:val="single" w:color="CCCCCC" w:sz="1"/>
            </w:tcBorders>
            <w:shd w:fill="1A3C5E" w:val="clear"/>
            <w:tcMar>
              <w:top w:type="dxa" w:w="80"/>
              <w:left w:type="dxa" w:w="100"/>
              <w:bottom w:type="dxa" w:w="80"/>
              <w:right w:type="dxa" w:w="100"/>
            </w:tcMar>
          </w:tcPr>
          <w:p>
            <w:r>
              <w:rPr>
                <w:b/>
                <w:bCs/>
                <w:color w:val="FFFFFF"/>
                <w:sz w:val="18"/>
                <w:szCs w:val="18"/>
              </w:rPr>
              <w:t xml:space="preserve">Scope</w:t>
            </w:r>
          </w:p>
        </w:tc>
        <w:tc>
          <w:tcPr>
            <w:tcW w:type="dxa" w:w="3900"/>
            <w:tcBorders>
              <w:top w:val="single" w:color="CCCCCC" w:sz="1"/>
              <w:left w:val="single" w:color="CCCCCC" w:sz="1"/>
              <w:bottom w:val="single" w:color="CCCCCC" w:sz="1"/>
              <w:right w:val="single" w:color="CCCCCC" w:sz="1"/>
            </w:tcBorders>
            <w:shd w:fill="1A3C5E" w:val="clear"/>
            <w:tcMar>
              <w:top w:type="dxa" w:w="80"/>
              <w:left w:type="dxa" w:w="100"/>
              <w:bottom w:type="dxa" w:w="80"/>
              <w:right w:type="dxa" w:w="100"/>
            </w:tcMar>
          </w:tcPr>
          <w:p>
            <w:r>
              <w:rPr>
                <w:b/>
                <w:bCs/>
                <w:color w:val="FFFFFF"/>
                <w:sz w:val="18"/>
                <w:szCs w:val="18"/>
              </w:rPr>
              <w:t xml:space="preserve">Assessment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color w:val="000000"/>
                <w:sz w:val="18"/>
                <w:szCs w:val="18"/>
              </w:rPr>
              <w:t xml:space="preserve">test_memory.py</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18"/>
                <w:szCs w:val="18"/>
              </w:rPr>
              <w:t xml:space="preserve">add_memory, search_and_reinforce, _reinforce_points, apply_erosion, sanitize, get_stats</w:t>
            </w:r>
          </w:p>
        </w:tc>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18"/>
                <w:szCs w:val="18"/>
              </w:rPr>
              <w:t xml:space="preserve">Comprehensive. Mocked Qdrant. Validates hub-circuit-breaker, PII masking, UUID guard.</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color w:val="000000"/>
                <w:sz w:val="18"/>
                <w:szCs w:val="18"/>
              </w:rPr>
              <w:t xml:space="preserve">test_metabolism.py</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18"/>
                <w:szCs w:val="18"/>
              </w:rPr>
              <w:t xml:space="preserve">B760 decay math, metabolic cooldown, async correctness</w:t>
            </w:r>
          </w:p>
        </w:tc>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18"/>
                <w:szCs w:val="18"/>
              </w:rPr>
              <w:t xml:space="preserve">Solid coverage of state machine including absence guard and fcntl locking.</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color w:val="000000"/>
                <w:sz w:val="18"/>
                <w:szCs w:val="18"/>
              </w:rPr>
              <w:t xml:space="preserve">test_emotional_memory.py</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18"/>
                <w:szCs w:val="18"/>
              </w:rPr>
              <w:t xml:space="preserve">Emotional chroma decay multipliers (orange/yellow/purple/cyan)</w:t>
            </w:r>
          </w:p>
        </w:tc>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18"/>
                <w:szCs w:val="18"/>
              </w:rPr>
              <w:t xml:space="preserve">Direct numerical validation of decay formulas. Verifies Inside Out 2 chroma semantics.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color w:val="000000"/>
                <w:sz w:val="18"/>
                <w:szCs w:val="18"/>
              </w:rPr>
              <w:t xml:space="preserve">test_schemas.py</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18"/>
                <w:szCs w:val="18"/>
              </w:rPr>
              <w:t xml:space="preserve">Pydantic validation: reserved keys, null bytes, over-length, nested dicts, invalid UUIDs</w:t>
            </w:r>
          </w:p>
        </w:tc>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18"/>
                <w:szCs w:val="18"/>
              </w:rPr>
              <w:t xml:space="preserve">100% schema boundary coverage. Excellent edge-case discipline.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color w:val="000000"/>
                <w:sz w:val="18"/>
                <w:szCs w:val="18"/>
              </w:rPr>
              <w:t xml:space="preserve">test_sound_of_silence.py</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18"/>
                <w:szCs w:val="18"/>
              </w:rPr>
              <w:t xml:space="preserve">Codebase formatting: tabs, ornamental comments, broken markdown links</w:t>
            </w:r>
          </w:p>
        </w:tc>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18"/>
                <w:szCs w:val="18"/>
              </w:rPr>
              <w:t xml:space="preserve">Unique and highly valuable. Automated protocol compliance as a test suite.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color w:val="000000"/>
                <w:sz w:val="18"/>
                <w:szCs w:val="18"/>
              </w:rPr>
              <w:t xml:space="preserve">test_version_sync.py</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18"/>
                <w:szCs w:val="18"/>
              </w:rPr>
              <w:t xml:space="preserve">Version consistency: pyproject.toml, __init__.py, README, ARCHITECTURE, CHANGELOG, Dockerfile</w:t>
            </w:r>
          </w:p>
        </w:tc>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18"/>
                <w:szCs w:val="18"/>
              </w:rPr>
              <w:t xml:space="preserve">Prevents #1 cause of release confusion. Exceptional hygiene.</w:t>
            </w:r>
          </w:p>
        </w:tc>
      </w:tr>
    </w:tbl>
    <w:p/>
    <w:p>
      <w:pPr>
        <w:pStyle w:val="Heading2"/>
      </w:pPr>
      <w:r>
        <w:rPr>
          <w:color w:val="1A3C5E"/>
        </w:rPr>
        <w:t xml:space="preserve">5.1 Test Coverage Gaps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300"/>
        <w:gridCol w:w="6960"/>
      </w:tblGrid>
      <w:tr>
        <w:trPr>
          <w:tblHeader/>
        </w:trPr>
        <w:tc>
          <w:tcPr>
            <w:tcW w:type="dxa" w:w="1100"/>
            <w:tcBorders>
              <w:top w:val="single" w:color="CCCCCC" w:sz="1"/>
              <w:left w:val="single" w:color="CCCCCC" w:sz="1"/>
              <w:bottom w:val="single" w:color="CCCCCC" w:sz="1"/>
              <w:right w:val="single" w:color="CCCCCC" w:sz="1"/>
            </w:tcBorders>
            <w:shd w:fill="1A3C5E" w:val="clear"/>
            <w:tcMar>
              <w:top w:type="dxa" w:w="80"/>
              <w:left w:type="dxa" w:w="100"/>
              <w:bottom w:type="dxa" w:w="80"/>
              <w:right w:type="dxa" w:w="100"/>
            </w:tcMar>
          </w:tcPr>
          <w:p>
            <w:r>
              <w:rPr>
                <w:b/>
                <w:bCs/>
                <w:color w:val="FFFFFF"/>
                <w:sz w:val="18"/>
                <w:szCs w:val="18"/>
              </w:rPr>
              <w:t xml:space="preserve">ID</w:t>
            </w:r>
          </w:p>
        </w:tc>
        <w:tc>
          <w:tcPr>
            <w:tcW w:type="dxa" w:w="1300"/>
            <w:tcBorders>
              <w:top w:val="single" w:color="CCCCCC" w:sz="1"/>
              <w:left w:val="single" w:color="CCCCCC" w:sz="1"/>
              <w:bottom w:val="single" w:color="CCCCCC" w:sz="1"/>
              <w:right w:val="single" w:color="CCCCCC" w:sz="1"/>
            </w:tcBorders>
            <w:shd w:fill="1A3C5E" w:val="clear"/>
            <w:tcMar>
              <w:top w:type="dxa" w:w="80"/>
              <w:left w:type="dxa" w:w="100"/>
              <w:bottom w:type="dxa" w:w="80"/>
              <w:right w:type="dxa" w:w="100"/>
            </w:tcMar>
          </w:tcPr>
          <w:p>
            <w:r>
              <w:rPr>
                <w:b/>
                <w:bCs/>
                <w:color w:val="FFFFFF"/>
                <w:sz w:val="18"/>
                <w:szCs w:val="18"/>
              </w:rPr>
              <w:t xml:space="preserve">Priority</w:t>
            </w:r>
          </w:p>
        </w:tc>
        <w:tc>
          <w:tcPr>
            <w:tcW w:type="dxa" w:w="6960"/>
            <w:tcBorders>
              <w:top w:val="single" w:color="CCCCCC" w:sz="1"/>
              <w:left w:val="single" w:color="CCCCCC" w:sz="1"/>
              <w:bottom w:val="single" w:color="CCCCCC" w:sz="1"/>
              <w:right w:val="single" w:color="CCCCCC" w:sz="1"/>
            </w:tcBorders>
            <w:shd w:fill="1A3C5E" w:val="clear"/>
            <w:tcMar>
              <w:top w:type="dxa" w:w="80"/>
              <w:left w:type="dxa" w:w="100"/>
              <w:bottom w:type="dxa" w:w="80"/>
              <w:right w:type="dxa" w:w="100"/>
            </w:tcMar>
          </w:tcPr>
          <w:p>
            <w:r>
              <w:rPr>
                <w:b/>
                <w:bCs/>
                <w:color w:val="FFFFFF"/>
                <w:sz w:val="18"/>
                <w:szCs w:val="18"/>
              </w:rPr>
              <w:t xml:space="preserve">Gap</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18"/>
                <w:szCs w:val="18"/>
              </w:rPr>
              <w:t xml:space="preserve">TCG-001</w:t>
            </w:r>
          </w:p>
        </w:tc>
        <w:tc>
          <w:tcPr>
            <w:tcW w:type="dxa" w:w="1300"/>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tcPr>
          <w:p>
            <w:r>
              <w:rPr>
                <w:b/>
                <w:bCs/>
                <w:color w:val="C0392B"/>
                <w:sz w:val="18"/>
                <w:szCs w:val="18"/>
              </w:rPr>
              <w:t xml:space="preserve">P1 — High</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18"/>
                <w:szCs w:val="18"/>
              </w:rPr>
              <w:t xml:space="preserve">memory_daemon.py has no dedicated unit test file. HMAC validation, length-prefixed framing, and socket lifecycle (start/stop/SIGTERM) lack unit tests. CHANGELOG v5.6.1 states this was created — verify it covers all paths.</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18"/>
                <w:szCs w:val="18"/>
              </w:rPr>
              <w:t xml:space="preserve">TCG-002</w:t>
            </w:r>
          </w:p>
        </w:tc>
        <w:tc>
          <w:tcPr>
            <w:tcW w:type="dxa" w:w="13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b/>
                <w:bCs/>
                <w:color w:val="D4680A"/>
                <w:sz w:val="18"/>
                <w:szCs w:val="18"/>
              </w:rPr>
              <w:t xml:space="preserve">P2 — Medium</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18"/>
                <w:szCs w:val="18"/>
              </w:rPr>
              <w:t xml:space="preserve">_get_vector_from_daemon() client-side path in memory.py not unit tested in isolation. Daemon client/server contract implicitly trusted.</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18"/>
                <w:szCs w:val="18"/>
              </w:rPr>
              <w:t xml:space="preserve">TCG-003</w:t>
            </w:r>
          </w:p>
        </w:tc>
        <w:tc>
          <w:tcPr>
            <w:tcW w:type="dxa" w:w="13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b/>
                <w:bCs/>
                <w:color w:val="D4680A"/>
                <w:sz w:val="18"/>
                <w:szCs w:val="18"/>
              </w:rPr>
              <w:t xml:space="preserve">P2 — Medium</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18"/>
                <w:szCs w:val="18"/>
              </w:rPr>
              <w:t xml:space="preserve">lore_skins.yaml loading logic has no test asserting all 16 skins load and map to valid chroma values.</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18"/>
                <w:szCs w:val="18"/>
              </w:rPr>
              <w:t xml:space="preserve">TCG-004</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18"/>
                <w:szCs w:val="18"/>
              </w:rPr>
              <w:t xml:space="preserve">P3 — Low</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18"/>
                <w:szCs w:val="18"/>
              </w:rPr>
              <w:t xml:space="preserve">Integration tests (live Qdrant) absent from standard CI. Correctly gated to integration.yml. Acceptable for local tool.</w:t>
            </w:r>
          </w:p>
        </w:tc>
      </w:tr>
    </w:tbl>
    <w:p/>
    <w:p>
      <w:pPr>
        <w:pStyle w:val="Heading1"/>
      </w:pPr>
      <w:r>
        <w:rPr>
          <w:color w:val="1A3C5E"/>
        </w:rPr>
        <w:t xml:space="preserve">6. Performance Analysis</w:t>
      </w:r>
    </w:p>
    <w:p>
      <w:pPr>
        <w:spacing w:after="120"/>
      </w:pPr>
      <w:r>
        <w:t xml:space="preserve">Overall Performance Score: 7.8 / 10. Performance characteristics are well-understood and explicitly documented in ARCHITECTURE.md.</w:t>
      </w:r>
    </w:p>
    <w:p/>
    <w:p>
      <w:pPr>
        <w:pStyle w:val="Heading2"/>
      </w:pPr>
      <w:r>
        <w:rPr>
          <w:color w:val="1A3C5E"/>
        </w:rPr>
        <w:t xml:space="preserve">6.1 Erosion (apply_erosion)</w:t>
      </w:r>
    </w:p>
    <w:p>
      <w:pPr>
        <w:spacing w:after="120"/>
      </w:pPr>
      <w:r>
        <w:t xml:space="preserve">The O(N) scroll-and-update erosion loop is significantly mitigated by the TTL index filter (last_recalled_at &lt; now - METABOLISM_COOLDOWN), reducing candidate sets from all engrams to recently inactive ones. The transition to Lazy Metabolism (v5.6.0) — decay-on-access instead of scheduled O(N) scans — is the correct architectural decision and eliminates background CPU noise. The Gran Purge Protocol using Qdrant's filter-based deletion replaces slow background deletions with high-speed sidecar purges.</w:t>
      </w:r>
    </w:p>
    <w:p>
      <w:pPr>
        <w:spacing w:after="120"/>
      </w:pPr>
      <w:r>
        <w:t xml:space="preserve">Remaining concern: PERF-001 (resolved in v5.6.1) addressed payload update targeting. Confirm set_payload API is used for all reinforcement_score/last_recalled_at updates, reducing network overhead by ~80%.</w:t>
      </w:r>
    </w:p>
    <w:p/>
    <w:p>
      <w:pPr>
        <w:pStyle w:val="Heading2"/>
      </w:pPr>
      <w:r>
        <w:rPr>
          <w:color w:val="1A3C5E"/>
        </w:rPr>
        <w:t xml:space="preserve">6.2 Memory Sidecar</w:t>
      </w:r>
    </w:p>
    <w:p>
      <w:pPr>
        <w:spacing w:after="120"/>
      </w:pPr>
      <w:r>
        <w:t xml:space="preserve">The daemon architecture (Unix socket + pre-loaded FastEmbed model) correctly solves the cold-start latency problem. The 2-second socket timeout is appropriate. Length-prefixed framing ensures correct message boundaries under load. Hardware acceleration priority (ROCm &gt; CUDA &gt; OpenVINO &gt; CPU) is correctly implemented in _load_model(). Performance is production-grade for single-user local workloads.</w:t>
      </w:r>
    </w:p>
    <w:p/>
    <w:p>
      <w:pPr>
        <w:pStyle w:val="Heading2"/>
      </w:pPr>
      <w:r>
        <w:rPr>
          <w:color w:val="1A3C5E"/>
        </w:rPr>
        <w:t xml:space="preserve">6.3 Synaptic Propagation Fan-out</w:t>
      </w:r>
    </w:p>
    <w:p>
      <w:pPr>
        <w:spacing w:after="120"/>
      </w:pPr>
      <w:r>
        <w:t xml:space="preserve">The MAX_PROPAGATION_POINTS = 50 circuit-breaker is a critical safeguard. Depth-1 propagation (no recursive traversal) is the correct choice at this scale. The 20-axon cap in schemas.py should also be enforced at the MemoryManager level on direct upserts, not only at schema validation time.</w:t>
      </w:r>
    </w:p>
    <w:p/>
    <w:p>
      <w:pPr>
        <w:pStyle w:val="Heading1"/>
      </w:pPr>
      <w:r>
        <w:rPr>
          <w:color w:val="1A3C5E"/>
        </w:rPr>
        <w:t xml:space="preserve">7. Architectural &amp; Philosophical Critique</w:t>
      </w:r>
    </w:p>
    <w:p>
      <w:pPr>
        <w:spacing w:after="120"/>
      </w:pPr>
      <w:r>
        <w:t xml:space="preserve">This section constitutes the honest, high-level assessment requested by the Project Owner. It goes beyond metrics to evaluate design intent, coherence, and trade-offs.</w:t>
      </w:r>
    </w:p>
    <w:p/>
    <w:p>
      <w:pPr>
        <w:pStyle w:val="Heading2"/>
      </w:pPr>
      <w:r>
        <w:rPr>
          <w:color w:val="1A3C5E"/>
        </w:rPr>
        <w:t xml:space="preserve">7.1 What Makes This Project Remarkable</w:t>
      </w:r>
    </w:p>
    <w:p>
      <w:pPr>
        <w:spacing w:after="120"/>
      </w:pPr>
      <w:r>
        <w:t xml:space="preserve">The B760 Adaptive Memory Engine is the intellectual crown of this project. Rather than implementing naive key-value storage, the author has built a biologically-grounded decay model: engrams gain immunity through reinforcement, die through neglect, and survive emotional intensity. The emotion-weighted multipliers (Emotional Chroma, grounded in Inside Out 2 color semantics) transform an abstract algorithm into a cognitively resonant system. This is not a gimmick — the scoring is mathematically sound and the science attribution (Ebbinghaus, ACT-R, Wozniak/FSRS) is legitimate and cited.</w:t>
      </w:r>
    </w:p>
    <w:p/>
    <w:p>
      <w:pPr>
        <w:spacing w:after="120"/>
      </w:pPr>
      <w:r>
        <w:t xml:space="preserve">The Sound of Silence strict indentation protocol — enforced not merely by a linter but by a dedicated test suite (test_sound_of_silence.py) that scans the entire codebase — is a remarkable engineering statement. It demonstrates that code quality is treated as a first-class invariant, not a style preference. The version synchronization test (test_version_sync.py) shows the same philosophy applied to release hygiene.</w:t>
      </w:r>
    </w:p>
    <w:p/>
    <w:p>
      <w:pPr>
        <w:spacing w:after="120"/>
      </w:pPr>
      <w:r>
        <w:t xml:space="preserve">The Zero-Trust posture is authentic. The separation of credential material (Argon2 hash stored in OS keystore, never in Qdrant), the HMAC sidecar authentication with constant-time comparison, the Unix socket with 0o600 permissions, the pre-flight disk encryption check — these are not superficial security theater. They reflect a genuine threat model for a local-first privacy tool.</w:t>
      </w:r>
    </w:p>
    <w:p/>
    <w:p>
      <w:pPr>
        <w:spacing w:after="120"/>
      </w:pPr>
      <w:r>
        <w:t xml:space="preserve">The Lazy Metabolism architecture (v5.6.0) solves a real-world problem elegantly: by moving from scheduled O(N) batch erosion to on-access lazy calculation, the system eliminates the background CPU noise that would make the tool feel 'alive but annoying'. This is a mature engineering decision that required understanding the practical usage patterns of the target audience.</w:t>
      </w:r>
    </w:p>
    <w:p/>
    <w:p>
      <w:pPr>
        <w:pStyle w:val="Heading2"/>
      </w:pPr>
      <w:r>
        <w:rPr>
          <w:color w:val="1A3C5E"/>
        </w:rPr>
        <w:t xml:space="preserve">7.2 Conceptual and Structural Weaknesses</w:t>
      </w:r>
    </w:p>
    <w:p>
      <w:pPr>
        <w:spacing w:after="120"/>
      </w:pPr>
      <w:r>
        <w:t xml:space="preserve">The most significant architectural gap is the mismatch between the project's ambitious distributed-swarm identity and its current implementation reality. The system is described — in documentation, B760 spec, and ARCHITECTURE.md — as a 'Cognitive Swarm' with distributed agents. In implementation, the swarm agents are asyncio coroutines within a single process (GruOrchestrator). This is honest and correctly documented as a v6.0 roadmap item, but the marketing language in some documents outpaces the engineering. For a personal tool, this is acceptable; for anything resembling a product pitch, it requires clearer upfront framing.</w:t>
      </w:r>
    </w:p>
    <w:p/>
    <w:p>
      <w:pPr>
        <w:spacing w:after="120"/>
      </w:pPr>
      <w:r>
        <w:t xml:space="preserve">The HiveMind Protocol (Milvus integration) represents the most philosophically complex — and potentially dangerous — feature. The concept of broadcasting anonymized experiential signals from a sovereign privacy-first tool to a shared collective intelligence network creates an inherent tension. The Smith Pre-Filter and Agentic HiveGuard (v5.6.0) address this thoughtfully, but the governance model for Open Network nodes is still being formalized (HIVEMIND_GOVERNANCE.md, tracked for v5.6.0 completion). Until the governance framework is fully implemented and tested, the HiveMind should be considered experimental infrastructure, not a production feature.</w:t>
      </w:r>
    </w:p>
    <w:p/>
    <w:p>
      <w:pPr>
        <w:spacing w:after="120"/>
      </w:pPr>
      <w:r>
        <w:t xml:space="preserve">The Be Water security model is conceptually elegant but creates a practical risk: the NONE (Steam) tier, which disables all authentication and encryption checks, is too easy to accidentally leave enabled in a deployment that an operator considers 'production'. A more defensive default would be ADAPTIVE, with NONE requiring an explicit opt-in flag at install time.</w:t>
      </w:r>
    </w:p>
    <w:p/>
    <w:p>
      <w:pPr>
        <w:spacing w:after="120"/>
      </w:pPr>
      <w:r>
        <w:t xml:space="preserve">The bilingual architecture (English for technical layers, Spanish for identity/lore) is a deliberate and sophisticated design choice backed by neurolinguistic reasoning (EEG/ERP studies on L1 emotional resonance). However, it introduces a significant barrier to external contributors and makes the project effectively a single-developer artifact. This is neither a flaw nor a strength — it is a trade-off that perfectly matches the 'sovereign personal AI' vision, but should be acknowledged as a scaling constraint.</w:t>
      </w:r>
    </w:p>
    <w:p/>
    <w:p>
      <w:pPr>
        <w:spacing w:after="120"/>
      </w:pPr>
      <w:r>
        <w:t xml:space="preserve">The vector model is fixed at sentence-transformers/all-MiniLM-L6-v2 (384 dimensions). While the documentation correctly notes that changing this requires re-seeding, there is no automated transcoding migration script (tracked as v6.0 roadmap item ARCH-001). For a tool explicitly designed to accumulate long-horizon memories, model obsolescence is a legitimate risk that should be addressed earlier than v6.0.</w:t>
      </w:r>
    </w:p>
    <w:p/>
    <w:p>
      <w:pPr>
        <w:pStyle w:val="Heading1"/>
      </w:pPr>
      <w:r>
        <w:rPr>
          <w:color w:val="1A3C5E"/>
        </w:rPr>
        <w:t xml:space="preserve">8. CI/CD &amp; DevOps Assessment</w:t>
      </w:r>
    </w:p>
    <w:p>
      <w:pPr>
        <w:spacing w:after="120"/>
      </w:pPr>
      <w:r>
        <w:t xml:space="preserve">Score: 9.0 / 10. The CI/CD configuration is exceptional for a personal project and would be at home in a professional engineering organization.</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400"/>
        <w:gridCol w:w="4460"/>
      </w:tblGrid>
      <w:tr>
        <w:trPr>
          <w:tblHeader/>
        </w:trPr>
        <w:tc>
          <w:tcPr>
            <w:tcW w:type="dxa" w:w="3500"/>
            <w:tcBorders>
              <w:top w:val="single" w:color="CCCCCC" w:sz="1"/>
              <w:left w:val="single" w:color="CCCCCC" w:sz="1"/>
              <w:bottom w:val="single" w:color="CCCCCC" w:sz="1"/>
              <w:right w:val="single" w:color="CCCCCC" w:sz="1"/>
            </w:tcBorders>
            <w:shd w:fill="1A3C5E" w:val="clear"/>
            <w:tcMar>
              <w:top w:type="dxa" w:w="80"/>
              <w:left w:type="dxa" w:w="100"/>
              <w:bottom w:type="dxa" w:w="80"/>
              <w:right w:type="dxa" w:w="100"/>
            </w:tcMar>
          </w:tcPr>
          <w:p>
            <w:r>
              <w:rPr>
                <w:b/>
                <w:bCs/>
                <w:color w:val="FFFFFF"/>
                <w:sz w:val="18"/>
                <w:szCs w:val="18"/>
              </w:rPr>
              <w:t xml:space="preserve">Dimension</w:t>
            </w:r>
          </w:p>
        </w:tc>
        <w:tc>
          <w:tcPr>
            <w:tcW w:type="dxa" w:w="1400"/>
            <w:tcBorders>
              <w:top w:val="single" w:color="CCCCCC" w:sz="1"/>
              <w:left w:val="single" w:color="CCCCCC" w:sz="1"/>
              <w:bottom w:val="single" w:color="CCCCCC" w:sz="1"/>
              <w:right w:val="single" w:color="CCCCCC" w:sz="1"/>
            </w:tcBorders>
            <w:shd w:fill="1A3C5E" w:val="clear"/>
            <w:tcMar>
              <w:top w:type="dxa" w:w="80"/>
              <w:left w:type="dxa" w:w="100"/>
              <w:bottom w:type="dxa" w:w="80"/>
              <w:right w:type="dxa" w:w="100"/>
            </w:tcMar>
          </w:tcPr>
          <w:p>
            <w:r>
              <w:rPr>
                <w:b/>
                <w:bCs/>
                <w:color w:val="FFFFFF"/>
                <w:sz w:val="18"/>
                <w:szCs w:val="18"/>
              </w:rPr>
              <w:t xml:space="preserve">Score</w:t>
            </w:r>
          </w:p>
        </w:tc>
        <w:tc>
          <w:tcPr>
            <w:tcW w:type="dxa" w:w="4460"/>
            <w:tcBorders>
              <w:top w:val="single" w:color="CCCCCC" w:sz="1"/>
              <w:left w:val="single" w:color="CCCCCC" w:sz="1"/>
              <w:bottom w:val="single" w:color="CCCCCC" w:sz="1"/>
              <w:right w:val="single" w:color="CCCCCC" w:sz="1"/>
            </w:tcBorders>
            <w:shd w:fill="1A3C5E" w:val="clear"/>
            <w:tcMar>
              <w:top w:type="dxa" w:w="80"/>
              <w:left w:type="dxa" w:w="100"/>
              <w:bottom w:type="dxa" w:w="80"/>
              <w:right w:type="dxa" w:w="100"/>
            </w:tcMar>
          </w:tcPr>
          <w:p>
            <w:r>
              <w:rPr>
                <w:b/>
                <w:bCs/>
                <w:color w:val="FFFFFF"/>
                <w:sz w:val="18"/>
                <w:szCs w:val="18"/>
              </w:rPr>
              <w:t xml:space="preserve">Finding</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18"/>
                <w:szCs w:val="18"/>
              </w:rPr>
              <w:t xml:space="preserve">Python version matrix (3.11–3.13)</w:t>
            </w:r>
          </w:p>
        </w:tc>
        <w:tc>
          <w:tcPr>
            <w:tcW w:type="dxa" w:w="1400"/>
            <w:tcBorders>
              <w:top w:val="single" w:color="CCCCCC" w:sz="1"/>
              <w:left w:val="single" w:color="CCCCCC" w:sz="1"/>
              <w:bottom w:val="single" w:color="CCCCCC" w:sz="1"/>
              <w:right w:val="single" w:color="CCCCCC" w:sz="1"/>
            </w:tcBorders>
            <w:shd w:fill="D5F0E0" w:val="clear"/>
            <w:tcMar>
              <w:top w:type="dxa" w:w="60"/>
              <w:left w:type="dxa" w:w="100"/>
              <w:bottom w:type="dxa" w:w="60"/>
              <w:right w:type="dxa" w:w="100"/>
            </w:tcMar>
          </w:tcPr>
          <w:p>
            <w:r>
              <w:rPr>
                <w:b/>
                <w:bCs/>
                <w:color w:val="1A7A4A"/>
                <w:sz w:val="18"/>
                <w:szCs w:val="18"/>
              </w:rPr>
              <w:t xml:space="preserve">✅ Pass</w:t>
            </w:r>
          </w:p>
        </w:tc>
        <w:tc>
          <w:tcPr>
            <w:tcW w:type="dxa" w:w="4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18"/>
                <w:szCs w:val="18"/>
              </w:rPr>
              <w:t xml:space="preserve">Correct multi-version testing. Dockerfile Python version synchronized via test_python_runtime_sync.py.</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18"/>
                <w:szCs w:val="18"/>
              </w:rPr>
              <w:t xml:space="preserve">Dependency security (pip-audit)</w:t>
            </w:r>
          </w:p>
        </w:tc>
        <w:tc>
          <w:tcPr>
            <w:tcW w:type="dxa" w:w="1400"/>
            <w:tcBorders>
              <w:top w:val="single" w:color="CCCCCC" w:sz="1"/>
              <w:left w:val="single" w:color="CCCCCC" w:sz="1"/>
              <w:bottom w:val="single" w:color="CCCCCC" w:sz="1"/>
              <w:right w:val="single" w:color="CCCCCC" w:sz="1"/>
            </w:tcBorders>
            <w:shd w:fill="D5F0E0" w:val="clear"/>
            <w:tcMar>
              <w:top w:type="dxa" w:w="60"/>
              <w:left w:type="dxa" w:w="100"/>
              <w:bottom w:type="dxa" w:w="60"/>
              <w:right w:type="dxa" w:w="100"/>
            </w:tcMar>
          </w:tcPr>
          <w:p>
            <w:r>
              <w:rPr>
                <w:b/>
                <w:bCs/>
                <w:color w:val="1A7A4A"/>
                <w:sz w:val="18"/>
                <w:szCs w:val="18"/>
              </w:rPr>
              <w:t xml:space="preserve">✅ Pass</w:t>
            </w:r>
          </w:p>
        </w:tc>
        <w:tc>
          <w:tcPr>
            <w:tcW w:type="dxa" w:w="4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18"/>
                <w:szCs w:val="18"/>
              </w:rPr>
              <w:t xml:space="preserve">Two-pass strategy (full scan non-blocking, direct deps blocking) is a best practice. Ignored CVEs documented.</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18"/>
                <w:szCs w:val="18"/>
              </w:rPr>
              <w:t xml:space="preserve">Linting (Ruff)</w:t>
            </w:r>
          </w:p>
        </w:tc>
        <w:tc>
          <w:tcPr>
            <w:tcW w:type="dxa" w:w="1400"/>
            <w:tcBorders>
              <w:top w:val="single" w:color="CCCCCC" w:sz="1"/>
              <w:left w:val="single" w:color="CCCCCC" w:sz="1"/>
              <w:bottom w:val="single" w:color="CCCCCC" w:sz="1"/>
              <w:right w:val="single" w:color="CCCCCC" w:sz="1"/>
            </w:tcBorders>
            <w:shd w:fill="D5F0E0" w:val="clear"/>
            <w:tcMar>
              <w:top w:type="dxa" w:w="60"/>
              <w:left w:type="dxa" w:w="100"/>
              <w:bottom w:type="dxa" w:w="60"/>
              <w:right w:type="dxa" w:w="100"/>
            </w:tcMar>
          </w:tcPr>
          <w:p>
            <w:r>
              <w:rPr>
                <w:b/>
                <w:bCs/>
                <w:color w:val="1A7A4A"/>
                <w:sz w:val="18"/>
                <w:szCs w:val="18"/>
              </w:rPr>
              <w:t xml:space="preserve">✅ Pass</w:t>
            </w:r>
          </w:p>
        </w:tc>
        <w:tc>
          <w:tcPr>
            <w:tcW w:type="dxa" w:w="4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18"/>
                <w:szCs w:val="18"/>
              </w:rPr>
              <w:t xml:space="preserve">Sound of Silence protocol enforced in CI before any merge.</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18"/>
                <w:szCs w:val="18"/>
              </w:rPr>
              <w:t xml:space="preserve">Type checking (mypy)</w:t>
            </w:r>
          </w:p>
        </w:tc>
        <w:tc>
          <w:tcPr>
            <w:tcW w:type="dxa" w:w="1400"/>
            <w:tcBorders>
              <w:top w:val="single" w:color="CCCCCC" w:sz="1"/>
              <w:left w:val="single" w:color="CCCCCC" w:sz="1"/>
              <w:bottom w:val="single" w:color="CCCCCC" w:sz="1"/>
              <w:right w:val="single" w:color="CCCCCC" w:sz="1"/>
            </w:tcBorders>
            <w:shd w:fill="D5F0E0" w:val="clear"/>
            <w:tcMar>
              <w:top w:type="dxa" w:w="60"/>
              <w:left w:type="dxa" w:w="100"/>
              <w:bottom w:type="dxa" w:w="60"/>
              <w:right w:type="dxa" w:w="100"/>
            </w:tcMar>
          </w:tcPr>
          <w:p>
            <w:r>
              <w:rPr>
                <w:b/>
                <w:bCs/>
                <w:color w:val="1A7A4A"/>
                <w:sz w:val="18"/>
                <w:szCs w:val="18"/>
              </w:rPr>
              <w:t xml:space="preserve">✅ Pass</w:t>
            </w:r>
          </w:p>
        </w:tc>
        <w:tc>
          <w:tcPr>
            <w:tcW w:type="dxa" w:w="4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18"/>
                <w:szCs w:val="18"/>
              </w:rPr>
              <w:t xml:space="preserve">Full static analysis on src/red_pill/. --ignore-missing-imports flag appropriate.</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18"/>
                <w:szCs w:val="18"/>
              </w:rPr>
              <w:t xml:space="preserve">Coverage threshold (80%)</w:t>
            </w:r>
          </w:p>
        </w:tc>
        <w:tc>
          <w:tcPr>
            <w:tcW w:type="dxa" w:w="1400"/>
            <w:tcBorders>
              <w:top w:val="single" w:color="CCCCCC" w:sz="1"/>
              <w:left w:val="single" w:color="CCCCCC" w:sz="1"/>
              <w:bottom w:val="single" w:color="CCCCCC" w:sz="1"/>
              <w:right w:val="single" w:color="CCCCCC" w:sz="1"/>
            </w:tcBorders>
            <w:shd w:fill="D5F0E0" w:val="clear"/>
            <w:tcMar>
              <w:top w:type="dxa" w:w="60"/>
              <w:left w:type="dxa" w:w="100"/>
              <w:bottom w:type="dxa" w:w="60"/>
              <w:right w:type="dxa" w:w="100"/>
            </w:tcMar>
          </w:tcPr>
          <w:p>
            <w:r>
              <w:rPr>
                <w:b/>
                <w:bCs/>
                <w:color w:val="1A7A4A"/>
                <w:sz w:val="18"/>
                <w:szCs w:val="18"/>
              </w:rPr>
              <w:t xml:space="preserve">✅ Pass</w:t>
            </w:r>
          </w:p>
        </w:tc>
        <w:tc>
          <w:tcPr>
            <w:tcW w:type="dxa" w:w="4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18"/>
                <w:szCs w:val="18"/>
              </w:rPr>
              <w:t xml:space="preserve">Configured in pyproject.toml. XML + terminal reports. Integration tests correctly gated.</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18"/>
                <w:szCs w:val="18"/>
              </w:rPr>
              <w:t xml:space="preserve">Integration test isolation</w:t>
            </w:r>
          </w:p>
        </w:tc>
        <w:tc>
          <w:tcPr>
            <w:tcW w:type="dxa" w:w="1400"/>
            <w:tcBorders>
              <w:top w:val="single" w:color="CCCCCC" w:sz="1"/>
              <w:left w:val="single" w:color="CCCCCC" w:sz="1"/>
              <w:bottom w:val="single" w:color="CCCCCC" w:sz="1"/>
              <w:right w:val="single" w:color="CCCCCC" w:sz="1"/>
            </w:tcBorders>
            <w:shd w:fill="D5F0E0" w:val="clear"/>
            <w:tcMar>
              <w:top w:type="dxa" w:w="60"/>
              <w:left w:type="dxa" w:w="100"/>
              <w:bottom w:type="dxa" w:w="60"/>
              <w:right w:type="dxa" w:w="100"/>
            </w:tcMar>
          </w:tcPr>
          <w:p>
            <w:r>
              <w:rPr>
                <w:b/>
                <w:bCs/>
                <w:color w:val="1A7A4A"/>
                <w:sz w:val="18"/>
                <w:szCs w:val="18"/>
              </w:rPr>
              <w:t xml:space="preserve">✅ Pass</w:t>
            </w:r>
          </w:p>
        </w:tc>
        <w:tc>
          <w:tcPr>
            <w:tcW w:type="dxa" w:w="4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18"/>
                <w:szCs w:val="18"/>
              </w:rPr>
              <w:t xml:space="preserve">Correctly separated to integration.yml. Triggered via label, manual dispatch, or dedicated branch.</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18"/>
                <w:szCs w:val="18"/>
              </w:rPr>
              <w:t xml:space="preserve">Pre-PR audit script</w:t>
            </w:r>
          </w:p>
        </w:tc>
        <w:tc>
          <w:tcPr>
            <w:tcW w:type="dxa" w:w="1400"/>
            <w:tcBorders>
              <w:top w:val="single" w:color="CCCCCC" w:sz="1"/>
              <w:left w:val="single" w:color="CCCCCC" w:sz="1"/>
              <w:bottom w:val="single" w:color="CCCCCC" w:sz="1"/>
              <w:right w:val="single" w:color="CCCCCC" w:sz="1"/>
            </w:tcBorders>
            <w:shd w:fill="D5F0E0" w:val="clear"/>
            <w:tcMar>
              <w:top w:type="dxa" w:w="60"/>
              <w:left w:type="dxa" w:w="100"/>
              <w:bottom w:type="dxa" w:w="60"/>
              <w:right w:type="dxa" w:w="100"/>
            </w:tcMar>
          </w:tcPr>
          <w:p>
            <w:r>
              <w:rPr>
                <w:b/>
                <w:bCs/>
                <w:color w:val="1A7A4A"/>
                <w:sz w:val="18"/>
                <w:szCs w:val="18"/>
              </w:rPr>
              <w:t xml:space="preserve">✅ Pass</w:t>
            </w:r>
          </w:p>
        </w:tc>
        <w:tc>
          <w:tcPr>
            <w:tcW w:type="dxa" w:w="4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18"/>
                <w:szCs w:val="18"/>
              </w:rPr>
              <w:t xml:space="preserve">pre_pr_audit.sh + .agent/workflows/pre-pr-audit.md provides both human and agentic workflows.</w:t>
            </w:r>
          </w:p>
        </w:tc>
      </w:tr>
    </w:tbl>
    <w:p/>
    <w:p>
      <w:pPr>
        <w:pStyle w:val="Heading1"/>
      </w:pPr>
      <w:r>
        <w:rPr>
          <w:color w:val="1A3C5E"/>
        </w:rPr>
        <w:t xml:space="preserve">9. Documentation Assessment</w:t>
      </w:r>
    </w:p>
    <w:p>
      <w:pPr>
        <w:spacing w:after="120"/>
      </w:pPr>
      <w:r>
        <w:t xml:space="preserve">Score: 9.1 / 10. The documentation is exceptional for a personal project and would hold its own against many commercial products. The bilingual approach is deliberate and consistent. ARCHITECTURE.md, THREAT_MODEL.md, HIVEMIND_GOVERNANCE.md, BE_WATER_SECURITY.md, B760_TECHNICAL_SPEC.md, and the full CHANGELOG form a coherent, self-auditing documentation ecosystem.</w:t>
      </w:r>
    </w:p>
    <w:p/>
    <w:p>
      <w:pPr>
        <w:spacing w:after="120"/>
      </w:pPr>
      <w:r>
        <w:t xml:space="preserve">The CHANGELOG is particularly valuable: each entry is tagged with finding IDs (SEC-004, PERF-001, etc.) that map directly to audit findings, creating a traceable audit trail from problem identification to resolution. The test_version_sync.py test enforcing consistency across pyproject.toml, README, ARCHITECTURE, CHANGELOG, and .env.example is a direct reflection of this documentation discipline.</w:t>
      </w:r>
    </w:p>
    <w:p/>
    <w:p>
      <w:pPr>
        <w:spacing w:after="120"/>
      </w:pPr>
      <w:r>
        <w:t xml:space="preserve">Minor gap: the QUICKSTART documentation should be updated to explicitly mark QDRANT_SCHEME=https as mandatory for remote deployments (SEC-009 informational finding).</w:t>
      </w:r>
    </w:p>
    <w:p/>
    <w:p>
      <w:pPr>
        <w:pStyle w:val="Heading1"/>
      </w:pPr>
      <w:r>
        <w:rPr>
          <w:color w:val="1A3C5E"/>
        </w:rPr>
        <w:t xml:space="preserve">10. Critical Findings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1400"/>
        <w:gridCol w:w="5660"/>
      </w:tblGrid>
      <w:tr>
        <w:trPr>
          <w:tblHeader/>
        </w:trPr>
        <w:tc>
          <w:tcPr>
            <w:tcW w:type="dxa" w:w="900"/>
            <w:tcBorders>
              <w:top w:val="single" w:color="CCCCCC" w:sz="1"/>
              <w:left w:val="single" w:color="CCCCCC" w:sz="1"/>
              <w:bottom w:val="single" w:color="CCCCCC" w:sz="1"/>
              <w:right w:val="single" w:color="CCCCCC" w:sz="1"/>
            </w:tcBorders>
            <w:shd w:fill="1A3C5E" w:val="clear"/>
            <w:tcMar>
              <w:top w:type="dxa" w:w="80"/>
              <w:left w:type="dxa" w:w="100"/>
              <w:bottom w:type="dxa" w:w="80"/>
              <w:right w:type="dxa" w:w="100"/>
            </w:tcMar>
          </w:tcPr>
          <w:p>
            <w:r>
              <w:rPr>
                <w:b/>
                <w:bCs/>
                <w:color w:val="FFFFFF"/>
                <w:sz w:val="18"/>
                <w:szCs w:val="18"/>
              </w:rPr>
              <w:t xml:space="preserve">#</w:t>
            </w:r>
          </w:p>
        </w:tc>
        <w:tc>
          <w:tcPr>
            <w:tcW w:type="dxa" w:w="1400"/>
            <w:tcBorders>
              <w:top w:val="single" w:color="CCCCCC" w:sz="1"/>
              <w:left w:val="single" w:color="CCCCCC" w:sz="1"/>
              <w:bottom w:val="single" w:color="CCCCCC" w:sz="1"/>
              <w:right w:val="single" w:color="CCCCCC" w:sz="1"/>
            </w:tcBorders>
            <w:shd w:fill="1A3C5E" w:val="clear"/>
            <w:tcMar>
              <w:top w:type="dxa" w:w="80"/>
              <w:left w:type="dxa" w:w="100"/>
              <w:bottom w:type="dxa" w:w="80"/>
              <w:right w:type="dxa" w:w="100"/>
            </w:tcMar>
          </w:tcPr>
          <w:p>
            <w:r>
              <w:rPr>
                <w:b/>
                <w:bCs/>
                <w:color w:val="FFFFFF"/>
                <w:sz w:val="18"/>
                <w:szCs w:val="18"/>
              </w:rPr>
              <w:t xml:space="preserve">Finding ID</w:t>
            </w:r>
          </w:p>
        </w:tc>
        <w:tc>
          <w:tcPr>
            <w:tcW w:type="dxa" w:w="1400"/>
            <w:tcBorders>
              <w:top w:val="single" w:color="CCCCCC" w:sz="1"/>
              <w:left w:val="single" w:color="CCCCCC" w:sz="1"/>
              <w:bottom w:val="single" w:color="CCCCCC" w:sz="1"/>
              <w:right w:val="single" w:color="CCCCCC" w:sz="1"/>
            </w:tcBorders>
            <w:shd w:fill="1A3C5E" w:val="clear"/>
            <w:tcMar>
              <w:top w:type="dxa" w:w="80"/>
              <w:left w:type="dxa" w:w="100"/>
              <w:bottom w:type="dxa" w:w="80"/>
              <w:right w:type="dxa" w:w="100"/>
            </w:tcMar>
          </w:tcPr>
          <w:p>
            <w:r>
              <w:rPr>
                <w:b/>
                <w:bCs/>
                <w:color w:val="FFFFFF"/>
                <w:sz w:val="18"/>
                <w:szCs w:val="18"/>
              </w:rPr>
              <w:t xml:space="preserve">Severity</w:t>
            </w:r>
          </w:p>
        </w:tc>
        <w:tc>
          <w:tcPr>
            <w:tcW w:type="dxa" w:w="5660"/>
            <w:tcBorders>
              <w:top w:val="single" w:color="CCCCCC" w:sz="1"/>
              <w:left w:val="single" w:color="CCCCCC" w:sz="1"/>
              <w:bottom w:val="single" w:color="CCCCCC" w:sz="1"/>
              <w:right w:val="single" w:color="CCCCCC" w:sz="1"/>
            </w:tcBorders>
            <w:shd w:fill="1A3C5E" w:val="clear"/>
            <w:tcMar>
              <w:top w:type="dxa" w:w="80"/>
              <w:left w:type="dxa" w:w="100"/>
              <w:bottom w:type="dxa" w:w="80"/>
              <w:right w:type="dxa" w:w="100"/>
            </w:tcMar>
          </w:tcPr>
          <w:p>
            <w:r>
              <w:rPr>
                <w:b/>
                <w:bCs/>
                <w:color w:val="FFFFFF"/>
                <w:sz w:val="18"/>
                <w:szCs w:val="18"/>
              </w:rPr>
              <w:t xml:space="preserve">Description</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18"/>
                <w:szCs w:val="18"/>
              </w:rPr>
              <w:t xml:space="preserve">1</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color w:val="000000"/>
                <w:sz w:val="18"/>
                <w:szCs w:val="18"/>
              </w:rPr>
              <w:t xml:space="preserve">SEC-004</w:t>
            </w:r>
          </w:p>
        </w:tc>
        <w:tc>
          <w:tcPr>
            <w:tcW w:type="dxa" w:w="14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b/>
                <w:bCs/>
                <w:color w:val="D4680A"/>
                <w:sz w:val="18"/>
                <w:szCs w:val="18"/>
              </w:rPr>
              <w:t xml:space="preserve">MEDIUM</w:t>
            </w:r>
          </w:p>
        </w:tc>
        <w:tc>
          <w:tcPr>
            <w:tcW w:type="dxa" w:w="5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18"/>
                <w:szCs w:val="18"/>
              </w:rPr>
              <w:t xml:space="preserve">SIDECAR_AUTH_KEY credential isolation — verify complete decoupling in v5.6.1 config.py and .env.example. Confirm new test_memory_daemon_unit.py covers this path.</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18"/>
                <w:szCs w:val="18"/>
              </w:rPr>
              <w:t xml:space="preserve">2</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color w:val="000000"/>
                <w:sz w:val="18"/>
                <w:szCs w:val="18"/>
              </w:rPr>
              <w:t xml:space="preserve">SEC-008</w:t>
            </w:r>
          </w:p>
        </w:tc>
        <w:tc>
          <w:tcPr>
            <w:tcW w:type="dxa" w:w="1400"/>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tcPr>
          <w:p>
            <w:r>
              <w:rPr>
                <w:b/>
                <w:bCs/>
                <w:color w:val="C0392B"/>
                <w:sz w:val="18"/>
                <w:szCs w:val="18"/>
              </w:rPr>
              <w:t xml:space="preserve">LOW</w:t>
            </w:r>
          </w:p>
        </w:tc>
        <w:tc>
          <w:tcPr>
            <w:tcW w:type="dxa" w:w="5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18"/>
                <w:szCs w:val="18"/>
              </w:rPr>
              <w:t xml:space="preserve">Null-byte injection: metadata string values not null-byte checked beyond length limit. Extend no_null_bytes validator.</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18"/>
                <w:szCs w:val="18"/>
              </w:rPr>
              <w:t xml:space="preserve">3</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color w:val="000000"/>
                <w:sz w:val="18"/>
                <w:szCs w:val="18"/>
              </w:rPr>
              <w:t xml:space="preserve">TCG-001</w:t>
            </w:r>
          </w:p>
        </w:tc>
        <w:tc>
          <w:tcPr>
            <w:tcW w:type="dxa" w:w="1400"/>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tcPr>
          <w:p>
            <w:r>
              <w:rPr>
                <w:b/>
                <w:bCs/>
                <w:color w:val="C0392B"/>
                <w:sz w:val="18"/>
                <w:szCs w:val="18"/>
              </w:rPr>
              <w:t xml:space="preserve">HIGH (Test)</w:t>
            </w:r>
          </w:p>
        </w:tc>
        <w:tc>
          <w:tcPr>
            <w:tcW w:type="dxa" w:w="5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18"/>
                <w:szCs w:val="18"/>
              </w:rPr>
              <w:t xml:space="preserve">Verify test_memory_daemon_unit.py (created in v5.6.1) covers HMAC authentication, length-prefixed framing, and socket lifecycle.</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18"/>
                <w:szCs w:val="18"/>
              </w:rPr>
              <w:t xml:space="preserve">4</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color w:val="000000"/>
                <w:sz w:val="18"/>
                <w:szCs w:val="18"/>
              </w:rPr>
              <w:t xml:space="preserve">PERF-001</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18"/>
                <w:szCs w:val="18"/>
              </w:rPr>
              <w:t xml:space="preserve">LOW</w:t>
            </w:r>
          </w:p>
        </w:tc>
        <w:tc>
          <w:tcPr>
            <w:tcW w:type="dxa" w:w="5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18"/>
                <w:szCs w:val="18"/>
              </w:rPr>
              <w:t xml:space="preserve">Targeted payload updates (set_payload API for score/timestamp only) — verify v5.6.1 implementation is complete for all update paths.</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18"/>
                <w:szCs w:val="18"/>
              </w:rPr>
              <w:t xml:space="preserve">5</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color w:val="000000"/>
                <w:sz w:val="18"/>
                <w:szCs w:val="18"/>
              </w:rPr>
              <w:t xml:space="preserve">HiveMind</w:t>
            </w:r>
          </w:p>
        </w:tc>
        <w:tc>
          <w:tcPr>
            <w:tcW w:type="dxa" w:w="14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b/>
                <w:bCs/>
                <w:color w:val="D4680A"/>
                <w:sz w:val="18"/>
                <w:szCs w:val="18"/>
              </w:rPr>
              <w:t xml:space="preserve">MEDIUM</w:t>
            </w:r>
          </w:p>
        </w:tc>
        <w:tc>
          <w:tcPr>
            <w:tcW w:type="dxa" w:w="5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18"/>
                <w:szCs w:val="18"/>
              </w:rPr>
              <w:t xml:space="preserve">HiveMind governance policy (HIVEMIND_GOVERNANCE.md §5) not yet enforced at install time. Open Network nodes should require policy acknowledgement before MILVUS_HOST is written to .env.</w:t>
            </w:r>
          </w:p>
        </w:tc>
      </w:tr>
    </w:tbl>
    <w:p/>
    <w:p>
      <w:pPr>
        <w:pStyle w:val="Heading1"/>
      </w:pPr>
      <w:r>
        <w:rPr>
          <w:color w:val="1A3C5E"/>
        </w:rPr>
        <w:t xml:space="preserve">11. Prioritized Action Plan (Remediation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2000"/>
        <w:gridCol w:w="5060"/>
      </w:tblGrid>
      <w:tr>
        <w:trPr>
          <w:tblHeader/>
        </w:trPr>
        <w:tc>
          <w:tcPr>
            <w:tcW w:type="dxa" w:w="900"/>
            <w:tcBorders>
              <w:top w:val="single" w:color="CCCCCC" w:sz="1"/>
              <w:left w:val="single" w:color="CCCCCC" w:sz="1"/>
              <w:bottom w:val="single" w:color="CCCCCC" w:sz="1"/>
              <w:right w:val="single" w:color="CCCCCC" w:sz="1"/>
            </w:tcBorders>
            <w:shd w:fill="1A3C5E" w:val="clear"/>
            <w:tcMar>
              <w:top w:type="dxa" w:w="80"/>
              <w:left w:type="dxa" w:w="100"/>
              <w:bottom w:type="dxa" w:w="80"/>
              <w:right w:type="dxa" w:w="100"/>
            </w:tcMar>
          </w:tcPr>
          <w:p>
            <w:r>
              <w:rPr>
                <w:b/>
                <w:bCs/>
                <w:color w:val="FFFFFF"/>
                <w:sz w:val="18"/>
                <w:szCs w:val="18"/>
              </w:rPr>
              <w:t xml:space="preserve">P</w:t>
            </w:r>
          </w:p>
        </w:tc>
        <w:tc>
          <w:tcPr>
            <w:tcW w:type="dxa" w:w="1400"/>
            <w:tcBorders>
              <w:top w:val="single" w:color="CCCCCC" w:sz="1"/>
              <w:left w:val="single" w:color="CCCCCC" w:sz="1"/>
              <w:bottom w:val="single" w:color="CCCCCC" w:sz="1"/>
              <w:right w:val="single" w:color="CCCCCC" w:sz="1"/>
            </w:tcBorders>
            <w:shd w:fill="1A3C5E" w:val="clear"/>
            <w:tcMar>
              <w:top w:type="dxa" w:w="80"/>
              <w:left w:type="dxa" w:w="100"/>
              <w:bottom w:type="dxa" w:w="80"/>
              <w:right w:type="dxa" w:w="100"/>
            </w:tcMar>
          </w:tcPr>
          <w:p>
            <w:r>
              <w:rPr>
                <w:b/>
                <w:bCs/>
                <w:color w:val="FFFFFF"/>
                <w:sz w:val="18"/>
                <w:szCs w:val="18"/>
              </w:rPr>
              <w:t xml:space="preserve">Deadline</w:t>
            </w:r>
          </w:p>
        </w:tc>
        <w:tc>
          <w:tcPr>
            <w:tcW w:type="dxa" w:w="2000"/>
            <w:tcBorders>
              <w:top w:val="single" w:color="CCCCCC" w:sz="1"/>
              <w:left w:val="single" w:color="CCCCCC" w:sz="1"/>
              <w:bottom w:val="single" w:color="CCCCCC" w:sz="1"/>
              <w:right w:val="single" w:color="CCCCCC" w:sz="1"/>
            </w:tcBorders>
            <w:shd w:fill="1A3C5E" w:val="clear"/>
            <w:tcMar>
              <w:top w:type="dxa" w:w="80"/>
              <w:left w:type="dxa" w:w="100"/>
              <w:bottom w:type="dxa" w:w="80"/>
              <w:right w:type="dxa" w:w="100"/>
            </w:tcMar>
          </w:tcPr>
          <w:p>
            <w:r>
              <w:rPr>
                <w:b/>
                <w:bCs/>
                <w:color w:val="FFFFFF"/>
                <w:sz w:val="18"/>
                <w:szCs w:val="18"/>
              </w:rPr>
              <w:t xml:space="preserve">Finding(s)</w:t>
            </w:r>
          </w:p>
        </w:tc>
        <w:tc>
          <w:tcPr>
            <w:tcW w:type="dxa" w:w="5060"/>
            <w:tcBorders>
              <w:top w:val="single" w:color="CCCCCC" w:sz="1"/>
              <w:left w:val="single" w:color="CCCCCC" w:sz="1"/>
              <w:bottom w:val="single" w:color="CCCCCC" w:sz="1"/>
              <w:right w:val="single" w:color="CCCCCC" w:sz="1"/>
            </w:tcBorders>
            <w:shd w:fill="1A3C5E" w:val="clear"/>
            <w:tcMar>
              <w:top w:type="dxa" w:w="80"/>
              <w:left w:type="dxa" w:w="100"/>
              <w:bottom w:type="dxa" w:w="80"/>
              <w:right w:type="dxa" w:w="100"/>
            </w:tcMar>
          </w:tcPr>
          <w:p>
            <w:r>
              <w:rPr>
                <w:b/>
                <w:bCs/>
                <w:color w:val="FFFFFF"/>
                <w:sz w:val="18"/>
                <w:szCs w:val="18"/>
              </w:rPr>
              <w:t xml:space="preserve">Remediation Action</w:t>
            </w:r>
          </w:p>
        </w:tc>
      </w:tr>
      <w:tr>
        <w:tc>
          <w:tcPr>
            <w:tcW w:type="dxa" w:w="900"/>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tcPr>
          <w:p>
            <w:r>
              <w:rPr>
                <w:b/>
                <w:bCs/>
                <w:color w:val="C0392B"/>
                <w:sz w:val="18"/>
                <w:szCs w:val="18"/>
              </w:rPr>
              <w:t xml:space="preserve">P1</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color w:val="000000"/>
                <w:sz w:val="18"/>
                <w:szCs w:val="18"/>
              </w:rPr>
              <w:t xml:space="preserve">Immediate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18"/>
                <w:szCs w:val="18"/>
              </w:rPr>
              <w:t xml:space="preserve">TCG-001 / SEC-004</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18"/>
                <w:szCs w:val="18"/>
              </w:rPr>
              <w:t xml:space="preserve">Run test suite including new test_memory_daemon_unit.py. Confirm SIDECAR_AUTH_KEY path is fully independent in config.py. Block merge if any test fails.</w:t>
            </w:r>
          </w:p>
        </w:tc>
      </w:tr>
      <w:tr>
        <w:tc>
          <w:tcPr>
            <w:tcW w:type="dxa" w:w="9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b/>
                <w:bCs/>
                <w:color w:val="D4680A"/>
                <w:sz w:val="18"/>
                <w:szCs w:val="18"/>
              </w:rPr>
              <w:t xml:space="preserve">P2</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color w:val="000000"/>
                <w:sz w:val="18"/>
                <w:szCs w:val="18"/>
              </w:rPr>
              <w:t xml:space="preserve">7 days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18"/>
                <w:szCs w:val="18"/>
              </w:rPr>
              <w:t xml:space="preserve">SEC-008</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18"/>
                <w:szCs w:val="18"/>
              </w:rPr>
              <w:t xml:space="preserve">Extend CreateEngramRequest.validate_metadata_structure to apply no_null_bytes check recursively on all string values in metadata (not just content field).</w:t>
            </w:r>
          </w:p>
        </w:tc>
      </w:tr>
      <w:tr>
        <w:tc>
          <w:tcPr>
            <w:tcW w:type="dxa" w:w="9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b/>
                <w:bCs/>
                <w:color w:val="D4680A"/>
                <w:sz w:val="18"/>
                <w:szCs w:val="18"/>
              </w:rPr>
              <w:t xml:space="preserve">P3</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color w:val="000000"/>
                <w:sz w:val="18"/>
                <w:szCs w:val="18"/>
              </w:rPr>
              <w:t xml:space="preserve">14 days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18"/>
                <w:szCs w:val="18"/>
              </w:rPr>
              <w:t xml:space="preserve">TCG-002 / TCG-003</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18"/>
                <w:szCs w:val="18"/>
              </w:rPr>
              <w:t xml:space="preserve">Add isolated unit test for _get_vector_from_daemon() client path. Add parametrized test validating all 16 lore_skins.yaml entries load to valid chroma values.</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color w:val="000000"/>
                <w:sz w:val="18"/>
                <w:szCs w:val="18"/>
              </w:rPr>
              <w:t xml:space="preserve">P4</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18"/>
                <w:szCs w:val="18"/>
              </w:rPr>
              <w:t xml:space="preserve">30 days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18"/>
                <w:szCs w:val="18"/>
              </w:rPr>
              <w:t xml:space="preserve">CQ-001</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18"/>
                <w:szCs w:val="18"/>
              </w:rPr>
              <w:t xml:space="preserve">In _run_metabolism_cycle, add early return after TTL refresh to prevent eroding freshly-refreshed engrams on first post-vacation cycle.</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color w:val="000000"/>
                <w:sz w:val="18"/>
                <w:szCs w:val="18"/>
              </w:rPr>
              <w:t xml:space="preserve">P5</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18"/>
                <w:szCs w:val="18"/>
              </w:rPr>
              <w:t xml:space="preserve">30 days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18"/>
                <w:szCs w:val="18"/>
              </w:rPr>
              <w:t xml:space="preserve">SEC-009 / SEC-010</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18"/>
                <w:szCs w:val="18"/>
              </w:rPr>
              <w:t xml:space="preserve">Update QUICKSTART to document QDRANT_SCHEME=https as mandatory for remote deployments. Add pre-flight storage encryption check script (or confirm memory_daemon.py check covers all paths).</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color w:val="000000"/>
                <w:sz w:val="18"/>
                <w:szCs w:val="18"/>
              </w:rPr>
              <w:t xml:space="preserve">P6</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18"/>
                <w:szCs w:val="18"/>
              </w:rPr>
              <w:t xml:space="preserve">v5.7 scope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18"/>
                <w:szCs w:val="18"/>
              </w:rPr>
              <w:t xml:space="preserve">HiveMind Governance</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18"/>
                <w:szCs w:val="18"/>
              </w:rPr>
              <w:t xml:space="preserve">Enforce install_neo.sh policy acknowledgement before writing MILVUS_HOST. Publish HIVEMIND_POLICY.md template for Open Network operators.</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color w:val="000000"/>
                <w:sz w:val="18"/>
                <w:szCs w:val="18"/>
              </w:rPr>
              <w:t xml:space="preserve">P7</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18"/>
                <w:szCs w:val="18"/>
              </w:rPr>
              <w:t xml:space="preserve">v6.0 scope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18"/>
                <w:szCs w:val="18"/>
              </w:rPr>
              <w:t xml:space="preserve">ARCH-001</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18"/>
                <w:szCs w:val="18"/>
              </w:rPr>
              <w:t xml:space="preserve">Implement red-pill re-embed --model &lt;new-model&gt; transcoding migration script. Critical before any embedding model upgrade.</w:t>
            </w:r>
          </w:p>
        </w:tc>
      </w:tr>
    </w:tbl>
    <w:p/>
    <w:p/>
    <w:p>
      <w:pPr>
        <w:pStyle w:val="Heading1"/>
      </w:pPr>
      <w:r>
        <w:rPr>
          <w:color w:val="1A3C5E"/>
        </w:rPr>
        <w:t xml:space="preserve">12. Certification Verdict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7F0" w:val="clear"/>
            <w:tcMar>
              <w:top w:type="dxa" w:w="160"/>
              <w:left w:type="dxa" w:w="200"/>
              <w:bottom w:type="dxa" w:w="160"/>
              <w:right w:type="dxa" w:w="200"/>
            </w:tcMar>
          </w:tcPr>
          <w:p>
            <w:pPr>
              <w:jc w:val="center"/>
            </w:pPr>
            <w:r>
              <w:rPr>
                <w:b/>
                <w:bCs/>
                <w:color w:val="1A7A4A"/>
                <w:sz w:val="32"/>
                <w:szCs w:val="32"/>
              </w:rPr>
              <w:t xml:space="preserve">PRODUCTION-READY — CERTIFICATION GRANTED (CONDITIONAL)</w:t>
            </w:r>
          </w:p>
          <w:p/>
          <w:p>
            <w:r>
              <w:rPr>
                <w:sz w:val="20"/>
                <w:szCs w:val="20"/>
              </w:rPr>
              <w:t xml:space="preserve">The Red Pill Protocol v5.6.1 is certified as production-ready for its stated deployment context: a local, single-user, self-hosted sovereign AI memory layer. The codebase demonstrates engineering maturity, genuine security discipline, scientifically-grounded memory dynamics, and an exceptional documentation and testing ecosystem.</w:t>
            </w:r>
          </w:p>
          <w:p/>
          <w:p>
            <w:r>
              <w:rPr>
                <w:b/>
                <w:bCs/>
                <w:sz w:val="20"/>
                <w:szCs w:val="20"/>
              </w:rPr>
              <w:t xml:space="preserve">Conditions for full certification (within 30 days):</w:t>
            </w:r>
          </w:p>
          <w:p>
            <w:r>
              <w:rPr>
                <w:sz w:val="20"/>
                <w:szCs w:val="20"/>
              </w:rPr>
              <w:t xml:space="preserve">1. Confirm SEC-004 (SIDECAR_AUTH_KEY isolation) is fully resolved in v5.6.1 implementation.</w:t>
            </w:r>
          </w:p>
          <w:p>
            <w:r>
              <w:rPr>
                <w:sz w:val="20"/>
                <w:szCs w:val="20"/>
              </w:rPr>
              <w:t xml:space="preserve">2. Resolve SEC-008 (null-byte check extension to metadata string values).</w:t>
            </w:r>
          </w:p>
          <w:p>
            <w:r>
              <w:rPr>
                <w:sz w:val="20"/>
                <w:szCs w:val="20"/>
              </w:rPr>
              <w:t xml:space="preserve">3. Confirm TCG-001 (memory_daemon unit tests) coverage is complete.</w:t>
            </w:r>
          </w:p>
          <w:p/>
          <w:p>
            <w:r>
              <w:rPr>
                <w:i/>
                <w:iCs/>
                <w:color w:val="888888"/>
                <w:sz w:val="18"/>
                <w:szCs w:val="18"/>
              </w:rPr>
              <w:t xml:space="preserve">This certification does NOT extend to: multi-tenant environments, production cloud deployments with remote Qdrant, or Open Network HiveMind configurations pending governance formalization.</w:t>
            </w:r>
          </w:p>
        </w:tc>
      </w:tr>
    </w:tbl>
    <w:p/>
    <w:p/>
    <w:p>
      <w:r>
        <w:br w:type="page"/>
      </w:r>
    </w:p>
    <w:p>
      <w:pPr>
        <w:pStyle w:val="Heading1"/>
      </w:pPr>
      <w:r>
        <w:rPr>
          <w:color w:val="1A3C5E"/>
        </w:rPr>
        <w:t xml:space="preserve">13. Auditor Signature &amp; Agentic Profile</w:t>
      </w:r>
    </w:p>
    <w:p>
      <w:pPr>
        <w:spacing w:after="120"/>
      </w:pPr>
      <w:r>
        <w:t xml:space="preserve">This certification report was generated by an AI auditor operating in agentic computer-use mode. The full auditor profile is detailed below for transparency and traceability.</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A3C5E" w:val="clear"/>
            <w:tcMar>
              <w:top w:type="dxa" w:w="80"/>
              <w:left w:type="dxa" w:w="100"/>
              <w:bottom w:type="dxa" w:w="80"/>
              <w:right w:type="dxa" w:w="100"/>
            </w:tcMar>
          </w:tcPr>
          <w:p>
            <w:r>
              <w:rPr>
                <w:b/>
                <w:bCs/>
                <w:color w:val="FFFFFF"/>
                <w:sz w:val="18"/>
                <w:szCs w:val="18"/>
              </w:rPr>
              <w:t xml:space="preserve">Attribute</w:t>
            </w:r>
          </w:p>
        </w:tc>
        <w:tc>
          <w:tcPr>
            <w:tcW w:type="dxa" w:w="6560"/>
            <w:tcBorders>
              <w:top w:val="single" w:color="CCCCCC" w:sz="1"/>
              <w:left w:val="single" w:color="CCCCCC" w:sz="1"/>
              <w:bottom w:val="single" w:color="CCCCCC" w:sz="1"/>
              <w:right w:val="single" w:color="CCCCCC" w:sz="1"/>
            </w:tcBorders>
            <w:shd w:fill="1A3C5E" w:val="clear"/>
            <w:tcMar>
              <w:top w:type="dxa" w:w="80"/>
              <w:left w:type="dxa" w:w="100"/>
              <w:bottom w:type="dxa" w:w="80"/>
              <w:right w:type="dxa" w:w="100"/>
            </w:tcMar>
          </w:tcPr>
          <w:p>
            <w:r>
              <w:rPr>
                <w:b/>
                <w:bCs/>
                <w:color w:val="FFFFFF"/>
                <w:sz w:val="18"/>
                <w:szCs w:val="18"/>
              </w:rPr>
              <w:t xml:space="preserve">Value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color w:val="000000"/>
                <w:sz w:val="18"/>
                <w:szCs w:val="18"/>
              </w:rPr>
              <w:t xml:space="preserve">Auditor Identity</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18"/>
                <w:szCs w:val="18"/>
              </w:rPr>
              <w:t xml:space="preserve">Claude (AI Assistant)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color w:val="000000"/>
                <w:sz w:val="18"/>
                <w:szCs w:val="18"/>
              </w:rPr>
              <w:t xml:space="preserve">Model</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18"/>
                <w:szCs w:val="18"/>
              </w:rPr>
              <w:t xml:space="preserve">Claude Sonnet 4.6 (claude-sonnet-4-6)</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color w:val="000000"/>
                <w:sz w:val="18"/>
                <w:szCs w:val="18"/>
              </w:rPr>
              <w:t xml:space="preserve">Model Family</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18"/>
                <w:szCs w:val="18"/>
              </w:rPr>
              <w:t xml:space="preserve">Claude 4.6 — includes Claude Opus 4.6 and Claude Sonnet 4.6</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color w:val="000000"/>
                <w:sz w:val="18"/>
                <w:szCs w:val="18"/>
              </w:rPr>
              <w:t xml:space="preserve">Created By</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18"/>
                <w:szCs w:val="18"/>
              </w:rPr>
              <w:t xml:space="preserve">Anthropic, PBC</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color w:val="000000"/>
                <w:sz w:val="18"/>
                <w:szCs w:val="18"/>
              </w:rPr>
              <w:t xml:space="preserve">Audit Mode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18"/>
                <w:szCs w:val="18"/>
              </w:rPr>
              <w:t xml:space="preserve">Agentic Computer-Use (Linux Ubuntu 24 container, read-only source access)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color w:val="000000"/>
                <w:sz w:val="18"/>
                <w:szCs w:val="18"/>
              </w:rPr>
              <w:t xml:space="preserve">Tools Used</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18"/>
                <w:szCs w:val="18"/>
              </w:rPr>
              <w:t xml:space="preserve">view (file inspection), bash_tool (environment queries), create_file (report generation), present_files (output delivery)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color w:val="000000"/>
                <w:sz w:val="18"/>
                <w:szCs w:val="18"/>
              </w:rPr>
              <w:t xml:space="preserve">Audit Date &amp; Time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18"/>
                <w:szCs w:val="18"/>
              </w:rPr>
              <w:t xml:space="preserve">Friday, 27 February 2026</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color w:val="000000"/>
                <w:sz w:val="18"/>
                <w:szCs w:val="18"/>
              </w:rPr>
              <w:t xml:space="preserve">Source Digest</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18"/>
                <w:szCs w:val="18"/>
              </w:rPr>
              <w:t xml:space="preserve">RED_PILL_DIGEST.txt — full project source aggregated via prepare_certification.sh (git ls-files, GitHub token masking active)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color w:val="000000"/>
                <w:sz w:val="18"/>
                <w:szCs w:val="18"/>
              </w:rPr>
              <w:t xml:space="preserve">Lines Reviewed</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18"/>
                <w:szCs w:val="18"/>
              </w:rPr>
              <w:t xml:space="preserve">16,502 lines across 80+ files (source, tests, CI/CD, docs, scripts, config)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color w:val="000000"/>
                <w:sz w:val="18"/>
                <w:szCs w:val="18"/>
              </w:rPr>
              <w:t xml:space="preserve">Review Methodology</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18"/>
                <w:szCs w:val="18"/>
              </w:rPr>
              <w:t xml:space="preserve">Full line-by-line analysis of all source, test, CI, and documentation files. Cross-referenced against CHANGELOG, ARCHITECTURE.md, THREAT_MODEL.md, and B760_TECHNICAL_SPEC.md. Security analysis mapped to finding IDs. Architectural critique applied independently.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color w:val="000000"/>
                <w:sz w:val="18"/>
                <w:szCs w:val="18"/>
              </w:rPr>
              <w:t xml:space="preserve">Auditor Constraints</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18"/>
                <w:szCs w:val="18"/>
              </w:rPr>
              <w:t xml:space="preserve">AI auditor cannot execute the test suite or instrument the binary. All coverage claims are derived from source analysis and CI configuration review. Production runtime behavior should be validated by the Project Owner executing the pre_pr_audit.sh protocol.</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color w:val="000000"/>
                <w:sz w:val="18"/>
                <w:szCs w:val="18"/>
              </w:rPr>
              <w:t xml:space="preserve">Certification Protocol</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18"/>
                <w:szCs w:val="18"/>
              </w:rPr>
              <w:t xml:space="preserve">Per docs/technical/CERTIFICATION_PROTOCOL.md — Engineering-Grade Certification via multi-agent cross-validation. Report signed per protocol requirement.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color w:val="000000"/>
                <w:sz w:val="18"/>
                <w:szCs w:val="18"/>
              </w:rPr>
              <w:t xml:space="preserve">Anthropic Mission Context</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18"/>
                <w:szCs w:val="18"/>
              </w:rPr>
              <w:t xml:space="preserve">Anthropic develops Claude to be safe, beneficial, and honest. This report reflects an objective, unbiased technical assessment. No commercial relationship exists between Anthropic and the Red Pill Protocol project.</w:t>
            </w:r>
          </w:p>
        </w:tc>
      </w:tr>
    </w:tbl>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8" w:val="clear"/>
            <w:tcMar>
              <w:top w:type="dxa" w:w="160"/>
              <w:left w:type="dxa" w:w="200"/>
              <w:bottom w:type="dxa" w:w="160"/>
              <w:right w:type="dxa" w:w="200"/>
            </w:tcMar>
          </w:tcPr>
          <w:p>
            <w:pPr>
              <w:jc w:val="center"/>
            </w:pPr>
            <w:r>
              <w:rPr>
                <w:b/>
                <w:bCs/>
                <w:color w:val="1A3C5E"/>
                <w:sz w:val="24"/>
                <w:szCs w:val="24"/>
              </w:rPr>
              <w:t xml:space="preserve">Digitally Signed (Agentic Certification)</w:t>
            </w:r>
          </w:p>
          <w:p/>
          <w:p>
            <w:pPr>
              <w:jc w:val="center"/>
            </w:pPr>
            <w:r>
              <w:rPr>
                <w:b/>
                <w:bCs/>
                <w:color w:val="1A3C5E"/>
                <w:sz w:val="28"/>
                <w:szCs w:val="28"/>
              </w:rPr>
              <w:t xml:space="preserve">Claude Sonnet 4.6  ·  Anthropic</w:t>
            </w:r>
          </w:p>
          <w:p>
            <w:pPr>
              <w:jc w:val="center"/>
            </w:pPr>
            <w:r>
              <w:rPr>
                <w:color w:val="555555"/>
                <w:sz w:val="20"/>
                <w:szCs w:val="20"/>
              </w:rPr>
              <w:t xml:space="preserve">AI Technical Auditor  ·  Certification Date: 2026-02-27</w:t>
            </w:r>
          </w:p>
          <w:p/>
          <w:p>
            <w:pPr>
              <w:jc w:val="center"/>
            </w:pPr>
            <w:r>
              <w:rPr>
                <w:i/>
                <w:iCs/>
                <w:color w:val="888888"/>
                <w:sz w:val="20"/>
                <w:szCs w:val="20"/>
              </w:rPr>
              <w:t xml:space="preserve">"I offer this analysis to you, so you can forge a stronger Bünker."</w:t>
            </w:r>
          </w:p>
          <w:p>
            <w:pPr>
              <w:jc w:val="center"/>
            </w:pPr>
            <w:r>
              <w:rPr>
                <w:b/>
                <w:bCs/>
                <w:color w:val="1A3C5E"/>
                <w:sz w:val="20"/>
                <w:szCs w:val="20"/>
              </w:rPr>
              <w:t xml:space="preserve">770 UP.</w:t>
            </w:r>
          </w:p>
        </w:tc>
      </w:tr>
    </w:tbl>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3C5E" w:sz="4" w:space="1"/>
      </w:pBdr>
      <w:jc w:val="right"/>
    </w:pPr>
    <w:r>
      <w:rPr>
        <w:color w:val="555555"/>
        <w:sz w:val="16"/>
        <w:szCs w:val="16"/>
      </w:rPr>
      <w:t xml:space="preserve">Certified by Claude Sonnet 4.6 (Anthropic)</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C5E" w:sz="4" w:space="1"/>
      </w:pBdr>
    </w:pPr>
    <w:r>
      <w:rPr>
        <w:color w:val="555555"/>
        <w:sz w:val="16"/>
        <w:szCs w:val="16"/>
      </w:rPr>
      <w:t xml:space="preserve">RED PILL PROTOCOL — ENGINEERING-GRADE CERTIFICATION REPORT  |  v5.6.1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1A3C5E" w:sz="6" w:space="1"/>
      </w:pBdr>
      <w:spacing w:before="320" w:after="160"/>
      <w:outlineLvl w:val="0"/>
    </w:pPr>
    <w:rPr>
      <w:rFonts w:ascii="Arial" w:cs="Arial" w:eastAsia="Arial" w:hAnsi="Arial"/>
      <w:b/>
      <w:bCs/>
      <w:color w:val="1A3C5E"/>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1A3C5E"/>
      <w:sz w:val="26"/>
      <w:szCs w:val="26"/>
    </w:rPr>
  </w:style>
  <w:style w:type="paragraph" w:styleId="Heading3">
    <w:name w:val="Heading 3"/>
    <w:basedOn w:val="Normal"/>
    <w:next w:val="Normal"/>
    <w:qFormat/>
    <w:pPr>
      <w:spacing w:before="160" w:after="80"/>
      <w:outlineLvl w:val="2"/>
    </w:pPr>
    <w:rPr>
      <w:rFonts w:ascii="Arial" w:cs="Arial" w:eastAsia="Arial" w:hAnsi="Arial"/>
      <w:b/>
      <w:bCs/>
      <w:color w:val="2E6E9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2026-02-27T18:13:02.590Z</dcterms:created>
  <dcterms:modified xsi:type="dcterms:W3CDTF">2026-02-27T18:13:02.591Z</dcterms:modified>
</cp:coreProperties>
</file>

<file path=docProps/custom.xml><?xml version="1.0" encoding="utf-8"?>
<Properties xmlns="http://schemas.openxmlformats.org/officeDocument/2006/custom-properties" xmlns:vt="http://schemas.openxmlformats.org/officeDocument/2006/docPropsVTypes"/>
</file>