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DemiBold" w:hAnsi="URWBookmanL-DemiBold" w:cs="URWBookmanL-DemiBold"/>
          <w:b/>
          <w:bCs/>
          <w:sz w:val="34"/>
          <w:szCs w:val="34"/>
        </w:rPr>
      </w:pPr>
      <w:r>
        <w:rPr>
          <w:rFonts w:ascii="URWBookmanL-DemiBold" w:hAnsi="URWBookmanL-DemiBold" w:cs="URWBookmanL-DemiBold"/>
          <w:b/>
          <w:bCs/>
          <w:sz w:val="34"/>
          <w:szCs w:val="34"/>
        </w:rPr>
        <w:t>Spis treści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DemiBold" w:hAnsi="URWBookmanL-DemiBold" w:cs="URWBookmanL-DemiBold"/>
          <w:b/>
          <w:bCs/>
          <w:sz w:val="20"/>
          <w:szCs w:val="20"/>
        </w:rPr>
        <w:t xml:space="preserve">1. Biometria </w:t>
      </w:r>
      <w:r>
        <w:rPr>
          <w:rFonts w:ascii="URWBookmanL-Ligh" w:hAnsi="URWBookmanL-Ligh" w:cs="URWBookmanL-Ligh"/>
          <w:sz w:val="20"/>
          <w:szCs w:val="20"/>
        </w:rPr>
        <w:t>. . . . . . . . . . . . . . . . . . . . . . . . . . . . . . . . . . . . . . . . . . 1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Ligh" w:hAnsi="URWBookmanL-Ligh" w:cs="URWBookmanL-Ligh"/>
          <w:sz w:val="20"/>
          <w:szCs w:val="20"/>
        </w:rPr>
        <w:t>1.1. Sposoby pozyskiwania obrazów odcisków . . . . . . . . . . . . . . . . . . . . . 1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Ligh" w:hAnsi="URWBookmanL-Ligh" w:cs="URWBookmanL-Ligh"/>
          <w:sz w:val="20"/>
          <w:szCs w:val="20"/>
        </w:rPr>
        <w:t>1.2. Dotychczasowe metody identyfikacji . . . . . . . . . . . . . . . . . . . . . . . . 1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Ligh" w:hAnsi="URWBookmanL-Ligh" w:cs="URWBookmanL-Ligh"/>
          <w:sz w:val="20"/>
          <w:szCs w:val="20"/>
        </w:rPr>
        <w:t xml:space="preserve">1.2.1. Metody </w:t>
      </w:r>
      <w:proofErr w:type="spellStart"/>
      <w:r>
        <w:rPr>
          <w:rFonts w:ascii="URWBookmanL-Ligh" w:hAnsi="URWBookmanL-Ligh" w:cs="URWBookmanL-Ligh"/>
          <w:sz w:val="20"/>
          <w:szCs w:val="20"/>
        </w:rPr>
        <w:t>minucyjne</w:t>
      </w:r>
      <w:proofErr w:type="spellEnd"/>
      <w:r>
        <w:rPr>
          <w:rFonts w:ascii="URWBookmanL-Ligh" w:hAnsi="URWBookmanL-Ligh" w:cs="URWBookmanL-Ligh"/>
          <w:sz w:val="20"/>
          <w:szCs w:val="20"/>
        </w:rPr>
        <w:t xml:space="preserve"> . . . . . . . . . . . . . . . . . . . . . . . . . . . . . . . 1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Ligh" w:hAnsi="URWBookmanL-Ligh" w:cs="URWBookmanL-Ligh"/>
          <w:sz w:val="20"/>
          <w:szCs w:val="20"/>
        </w:rPr>
        <w:t xml:space="preserve">1.2.2. Metody </w:t>
      </w:r>
      <w:proofErr w:type="spellStart"/>
      <w:r>
        <w:rPr>
          <w:rFonts w:ascii="URWBookmanL-Ligh" w:hAnsi="URWBookmanL-Ligh" w:cs="URWBookmanL-Ligh"/>
          <w:sz w:val="20"/>
          <w:szCs w:val="20"/>
        </w:rPr>
        <w:t>nieminucyjne</w:t>
      </w:r>
      <w:proofErr w:type="spellEnd"/>
      <w:r>
        <w:rPr>
          <w:rFonts w:ascii="URWBookmanL-Ligh" w:hAnsi="URWBookmanL-Ligh" w:cs="URWBookmanL-Ligh"/>
          <w:sz w:val="20"/>
          <w:szCs w:val="20"/>
        </w:rPr>
        <w:t xml:space="preserve"> . . . . . . . . . . . . . . . . . . . . . . . . . . . . . 1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DemiBold" w:hAnsi="URWBookmanL-DemiBold" w:cs="URWBookmanL-DemiBold"/>
          <w:b/>
          <w:bCs/>
          <w:sz w:val="20"/>
          <w:szCs w:val="20"/>
        </w:rPr>
        <w:t xml:space="preserve">2. Kod odcisku </w:t>
      </w:r>
      <w:r>
        <w:rPr>
          <w:rFonts w:ascii="URWBookmanL-Ligh" w:hAnsi="URWBookmanL-Ligh" w:cs="URWBookmanL-Ligh"/>
          <w:sz w:val="20"/>
          <w:szCs w:val="20"/>
        </w:rPr>
        <w:t>. . . . . . . . . . . . . . . . . . . . . . . . . . . . . . . . . . . . . . . . . 2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Ligh" w:hAnsi="URWBookmanL-Ligh" w:cs="URWBookmanL-Ligh"/>
          <w:sz w:val="20"/>
          <w:szCs w:val="20"/>
        </w:rPr>
        <w:t>2.1. Algorytm Kodujący . . . . . . . . . . . . . . . . . . . . . . . . . . . . . . . . . . 2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Ligh" w:hAnsi="URWBookmanL-Ligh" w:cs="URWBookmanL-Ligh"/>
          <w:sz w:val="20"/>
          <w:szCs w:val="20"/>
        </w:rPr>
        <w:t>2.1.1. Naiwny kod . . . . . . . . . . . . . . . . . . . . . . . . . . . . . . . . . . . 2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Ligh" w:hAnsi="URWBookmanL-Ligh" w:cs="URWBookmanL-Ligh"/>
          <w:sz w:val="20"/>
          <w:szCs w:val="20"/>
        </w:rPr>
        <w:t>2.1.2. Macierz kodów . . . . . . . . . . . . . . . . . . . . . . . . . . . . . . . . . 5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Ligh" w:hAnsi="URWBookmanL-Ligh" w:cs="URWBookmanL-Ligh"/>
          <w:sz w:val="20"/>
          <w:szCs w:val="20"/>
        </w:rPr>
        <w:t>2.2. Przyczyny zastosowań . . . . . . . . . . . . . . . . . . . . . . . . . . . . . . . . 9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DemiBold" w:hAnsi="URWBookmanL-DemiBold" w:cs="URWBookmanL-DemiBold"/>
          <w:b/>
          <w:bCs/>
          <w:sz w:val="20"/>
          <w:szCs w:val="20"/>
        </w:rPr>
        <w:t xml:space="preserve">3. Implementacja algorytmu </w:t>
      </w:r>
      <w:r>
        <w:rPr>
          <w:rFonts w:ascii="URWBookmanL-Ligh" w:hAnsi="URWBookmanL-Ligh" w:cs="URWBookmanL-Ligh"/>
          <w:sz w:val="20"/>
          <w:szCs w:val="20"/>
        </w:rPr>
        <w:t>. . . . . . . . . . . . . . . . . . . . . . . . . . . . . . . . 10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Ligh" w:hAnsi="URWBookmanL-Ligh" w:cs="URWBookmanL-Ligh"/>
          <w:sz w:val="20"/>
          <w:szCs w:val="20"/>
        </w:rPr>
        <w:t>3.1. Diagram klas . . . . . . . . . . . . . . . . . . . . . . . . . . . . . . . . . . . . . . 11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Ligh" w:hAnsi="URWBookmanL-Ligh" w:cs="URWBookmanL-Ligh"/>
          <w:sz w:val="20"/>
          <w:szCs w:val="20"/>
        </w:rPr>
        <w:t>3.2. Spis klas . . . . . . . . . . . . . . . . . . . . . . . . . . . . . . . . . . . . . . . . 12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Ligh" w:hAnsi="URWBookmanL-Ligh" w:cs="URWBookmanL-Ligh"/>
          <w:sz w:val="20"/>
          <w:szCs w:val="20"/>
        </w:rPr>
        <w:t>3.3. Przebieg procesu weryfikacji . . . . . . . . . . . . . . . . . . . . . . . . . . . . . 14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DemiBold" w:hAnsi="URWBookmanL-DemiBold" w:cs="URWBookmanL-DemiBold"/>
          <w:b/>
          <w:bCs/>
          <w:sz w:val="20"/>
          <w:szCs w:val="20"/>
        </w:rPr>
        <w:t xml:space="preserve">4. Porównanie wyników algorytmu z komercyjnym rozwiązaniem </w:t>
      </w:r>
      <w:r>
        <w:rPr>
          <w:rFonts w:ascii="URWBookmanL-Ligh" w:hAnsi="URWBookmanL-Ligh" w:cs="URWBookmanL-Ligh"/>
          <w:sz w:val="20"/>
          <w:szCs w:val="20"/>
        </w:rPr>
        <w:t>. . . . . . . . . 16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Ligh" w:hAnsi="URWBookmanL-Ligh" w:cs="URWBookmanL-Ligh"/>
          <w:sz w:val="20"/>
          <w:szCs w:val="20"/>
        </w:rPr>
        <w:t>4.1. Analiza statystyczna kodu . . . . . . . . . . . . . . . . . . . . . . . . . . . . . . 16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Ligh" w:hAnsi="URWBookmanL-Ligh" w:cs="URWBookmanL-Ligh"/>
          <w:sz w:val="20"/>
          <w:szCs w:val="20"/>
        </w:rPr>
        <w:t>4.1.1. Rezultaty testów . . . . . . . . . . . . . . . . . . . . . . . . . . . . . . . . 17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Ligh" w:hAnsi="URWBookmanL-Ligh" w:cs="URWBookmanL-Ligh"/>
          <w:sz w:val="20"/>
          <w:szCs w:val="20"/>
        </w:rPr>
        <w:t>4.2. Rozkład punktów porównania . . . . . . . . . . . . . . . . . . . . . . . . . . . . 23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DemiBold" w:hAnsi="URWBookmanL-DemiBold" w:cs="URWBookmanL-DemiBold"/>
          <w:b/>
          <w:bCs/>
          <w:sz w:val="20"/>
          <w:szCs w:val="20"/>
        </w:rPr>
        <w:t xml:space="preserve">5. Różnica symetryczna jako sposób porównywania odcisków </w:t>
      </w:r>
      <w:r>
        <w:rPr>
          <w:rFonts w:ascii="URWBookmanL-Ligh" w:hAnsi="URWBookmanL-Ligh" w:cs="URWBookmanL-Ligh"/>
          <w:sz w:val="20"/>
          <w:szCs w:val="20"/>
        </w:rPr>
        <w:t>. . . . . . . . . . . . 27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Ligh" w:hAnsi="URWBookmanL-Ligh" w:cs="URWBookmanL-Ligh"/>
          <w:sz w:val="20"/>
          <w:szCs w:val="20"/>
        </w:rPr>
        <w:t>5.1. Analiza statystyczna kodu . . . . . . . . . . . . . . . . . . . . . . . . . . . . . . 28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Ligh" w:hAnsi="URWBookmanL-Ligh" w:cs="URWBookmanL-Ligh"/>
          <w:sz w:val="20"/>
          <w:szCs w:val="20"/>
        </w:rPr>
        <w:t>5.1.1. Rezultaty testów . . . . . . . . . . . . . . . . . . . . . . . . . . . . . . . . 28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DemiBold" w:hAnsi="URWBookmanL-DemiBold" w:cs="URWBookmanL-DemiBold"/>
          <w:b/>
          <w:bCs/>
          <w:sz w:val="20"/>
          <w:szCs w:val="20"/>
        </w:rPr>
        <w:t xml:space="preserve">6. Metoda 3D porównywania kodów </w:t>
      </w:r>
      <w:r>
        <w:rPr>
          <w:rFonts w:ascii="URWBookmanL-Ligh" w:hAnsi="URWBookmanL-Ligh" w:cs="URWBookmanL-Ligh"/>
          <w:sz w:val="20"/>
          <w:szCs w:val="20"/>
        </w:rPr>
        <w:t>. . . . . . . . . . . . . . . . . . . . . . . . . . . . 32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Ligh" w:hAnsi="URWBookmanL-Ligh" w:cs="URWBookmanL-Ligh"/>
          <w:sz w:val="20"/>
          <w:szCs w:val="20"/>
        </w:rPr>
        <w:t>6.1. Opis metody . . . . . . . . . . . . . . . . . . . . . . . . . . . . . . . . . . . . . . 32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Ligh" w:hAnsi="URWBookmanL-Ligh" w:cs="URWBookmanL-Ligh"/>
          <w:sz w:val="20"/>
          <w:szCs w:val="20"/>
        </w:rPr>
        <w:t>6.2. Wyniki . . . . . . . . . . . . . . . . . . . . . . . . . . . . . . . . . . . . . . . . . 33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Ligh" w:hAnsi="URWBookmanL-Ligh" w:cs="URWBookmanL-Ligh"/>
          <w:sz w:val="20"/>
          <w:szCs w:val="20"/>
        </w:rPr>
        <w:t>6.3. Wnioski . . . . . . . . . . . . . . . . . . . . . . . . . . . . . . . . . . . . . . . . . 37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DemiBold" w:hAnsi="URWBookmanL-DemiBold" w:cs="URWBookmanL-DemiBold"/>
          <w:b/>
          <w:bCs/>
          <w:sz w:val="20"/>
          <w:szCs w:val="20"/>
        </w:rPr>
        <w:t xml:space="preserve">7. Ulepszenia </w:t>
      </w:r>
      <w:r>
        <w:rPr>
          <w:rFonts w:ascii="URWBookmanL-Ligh" w:hAnsi="URWBookmanL-Ligh" w:cs="URWBookmanL-Ligh"/>
          <w:sz w:val="20"/>
          <w:szCs w:val="20"/>
        </w:rPr>
        <w:t>. . . . . . . . . . . . . . . . . . . . . . . . . . . . . . . . . . . . . . . . . . 38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Ligh" w:hAnsi="URWBookmanL-Ligh" w:cs="URWBookmanL-Ligh"/>
          <w:sz w:val="20"/>
          <w:szCs w:val="20"/>
        </w:rPr>
        <w:t>7.1. Wnioski . . . . . . . . . . . . . . . . . . . . . . . . . . . . . . . . . . . . . . . . . 41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DemiBold" w:hAnsi="URWBookmanL-DemiBold" w:cs="URWBookmanL-DemiBold"/>
          <w:b/>
          <w:bCs/>
          <w:sz w:val="20"/>
          <w:szCs w:val="20"/>
        </w:rPr>
        <w:t xml:space="preserve">8. Weryfikacja obiektowo-kodowa </w:t>
      </w:r>
      <w:r>
        <w:rPr>
          <w:rFonts w:ascii="URWBookmanL-Ligh" w:hAnsi="URWBookmanL-Ligh" w:cs="URWBookmanL-Ligh"/>
          <w:sz w:val="20"/>
          <w:szCs w:val="20"/>
        </w:rPr>
        <w:t>. . . . . . . . . . . . . . . . . . . . . . . . . . . . . 42</w:t>
      </w:r>
    </w:p>
    <w:p w:rsidR="0053195D" w:rsidRDefault="0053195D" w:rsidP="0053195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  <w:r>
        <w:rPr>
          <w:rFonts w:ascii="URWBookmanL-Ligh" w:hAnsi="URWBookmanL-Ligh" w:cs="URWBookmanL-Ligh"/>
          <w:sz w:val="20"/>
          <w:szCs w:val="20"/>
        </w:rPr>
        <w:t>8.1. Ocena i porównanie metod . . . . . . . . . . . . . . . . . . . . . . . . . . . . . . 43</w:t>
      </w:r>
    </w:p>
    <w:p w:rsidR="00F54FC5" w:rsidRDefault="0053195D" w:rsidP="0053195D">
      <w:r>
        <w:rPr>
          <w:rFonts w:ascii="URWBookmanL-DemiBold" w:hAnsi="URWBookmanL-DemiBold" w:cs="URWBookmanL-DemiBold"/>
          <w:b/>
          <w:bCs/>
          <w:sz w:val="20"/>
          <w:szCs w:val="20"/>
        </w:rPr>
        <w:t xml:space="preserve">Bibliografia </w:t>
      </w:r>
      <w:r>
        <w:rPr>
          <w:rFonts w:ascii="URWBookmanL-Ligh" w:hAnsi="URWBookmanL-Ligh" w:cs="URWBookmanL-Ligh"/>
          <w:sz w:val="20"/>
          <w:szCs w:val="20"/>
        </w:rPr>
        <w:t>. . . . . . . . . . . . . . . . . . . . . . . . . . . . . . . . . . . . . . . . . . . 44</w:t>
      </w:r>
    </w:p>
    <w:sectPr w:rsidR="00F54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URWBookmanL-Demi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BookmanL-Ligh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3195D"/>
    <w:rsid w:val="0053195D"/>
    <w:rsid w:val="00F54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czareq</dc:creator>
  <cp:keywords/>
  <dc:description/>
  <cp:lastModifiedBy>czareq</cp:lastModifiedBy>
  <cp:revision>2</cp:revision>
  <dcterms:created xsi:type="dcterms:W3CDTF">2012-06-14T10:27:00Z</dcterms:created>
  <dcterms:modified xsi:type="dcterms:W3CDTF">2012-06-14T10:28:00Z</dcterms:modified>
</cp:coreProperties>
</file>