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6436E96C" w:rsidR="00531FBF" w:rsidRPr="00B7788F" w:rsidRDefault="00EA0D6F" w:rsidP="00B7788F">
            <w:pPr>
              <w:contextualSpacing/>
              <w:jc w:val="center"/>
              <w:rPr>
                <w:rFonts w:eastAsia="Times New Roman" w:cstheme="minorHAnsi"/>
                <w:b/>
                <w:bCs/>
                <w:sz w:val="22"/>
                <w:szCs w:val="22"/>
              </w:rPr>
            </w:pPr>
            <w:r>
              <w:rPr>
                <w:rFonts w:eastAsia="Times New Roman" w:cstheme="minorHAnsi"/>
                <w:b/>
                <w:bCs/>
                <w:sz w:val="22"/>
                <w:szCs w:val="22"/>
              </w:rPr>
              <w:t>4/24/25</w:t>
            </w:r>
          </w:p>
        </w:tc>
        <w:tc>
          <w:tcPr>
            <w:tcW w:w="2338" w:type="dxa"/>
            <w:tcMar>
              <w:left w:w="115" w:type="dxa"/>
              <w:right w:w="115" w:type="dxa"/>
            </w:tcMar>
          </w:tcPr>
          <w:p w14:paraId="07699096" w14:textId="1AA626DC" w:rsidR="00531FBF" w:rsidRPr="00B7788F" w:rsidRDefault="00EA0D6F" w:rsidP="00B7788F">
            <w:pPr>
              <w:contextualSpacing/>
              <w:jc w:val="center"/>
              <w:rPr>
                <w:rFonts w:eastAsia="Times New Roman" w:cstheme="minorHAnsi"/>
                <w:b/>
                <w:bCs/>
                <w:sz w:val="22"/>
                <w:szCs w:val="22"/>
              </w:rPr>
            </w:pPr>
            <w:r>
              <w:rPr>
                <w:rFonts w:eastAsia="Times New Roman" w:cstheme="minorHAnsi"/>
                <w:b/>
                <w:bCs/>
                <w:sz w:val="22"/>
                <w:szCs w:val="22"/>
              </w:rPr>
              <w:t>Joanna Norris</w:t>
            </w:r>
          </w:p>
        </w:tc>
        <w:tc>
          <w:tcPr>
            <w:tcW w:w="2338" w:type="dxa"/>
            <w:tcMar>
              <w:left w:w="115" w:type="dxa"/>
              <w:right w:w="115" w:type="dxa"/>
            </w:tcMar>
          </w:tcPr>
          <w:p w14:paraId="77DC76FF" w14:textId="0044DB8A" w:rsidR="00C32F3D" w:rsidRPr="00B7788F" w:rsidRDefault="00D67C10" w:rsidP="00B7788F">
            <w:pPr>
              <w:contextualSpacing/>
              <w:jc w:val="center"/>
              <w:rPr>
                <w:rFonts w:eastAsia="Times New Roman" w:cstheme="minorHAnsi"/>
                <w:b/>
                <w:bCs/>
                <w:sz w:val="22"/>
                <w:szCs w:val="22"/>
              </w:rPr>
            </w:pPr>
            <w:r>
              <w:rPr>
                <w:rFonts w:eastAsia="Times New Roman" w:cstheme="minorHAnsi"/>
                <w:b/>
                <w:bCs/>
                <w:sz w:val="22"/>
                <w:szCs w:val="22"/>
              </w:rPr>
              <w:t>Complete Document Creation</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 xml:space="preserve">choose to include images or </w:t>
      </w:r>
      <w:proofErr w:type="gramStart"/>
      <w:r w:rsidR="00025C05" w:rsidRPr="00632C6F">
        <w:rPr>
          <w:rFonts w:eastAsia="Times New Roman"/>
          <w:sz w:val="22"/>
          <w:szCs w:val="22"/>
        </w:rPr>
        <w:t>supporting</w:t>
      </w:r>
      <w:proofErr w:type="gramEnd"/>
      <w:r w:rsidR="00025C05" w:rsidRPr="00632C6F">
        <w:rPr>
          <w:rFonts w:eastAsia="Times New Roman"/>
          <w:sz w:val="22"/>
          <w:szCs w:val="22"/>
        </w:rPr>
        <w:t xml:space="preserve">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w:t>
      </w:r>
      <w:proofErr w:type="gramStart"/>
      <w:r>
        <w:rPr>
          <w:rFonts w:eastAsia="Times New Roman"/>
          <w:sz w:val="22"/>
          <w:szCs w:val="22"/>
        </w:rPr>
        <w:t>the Project</w:t>
      </w:r>
      <w:proofErr w:type="gramEnd"/>
      <w:r>
        <w:rPr>
          <w:rFonts w:eastAsia="Times New Roman"/>
          <w:sz w:val="22"/>
          <w:szCs w:val="22"/>
        </w:rPr>
        <w:t xml:space="preserve">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4BE52129" w:rsidR="00485402" w:rsidRPr="00B7788F" w:rsidRDefault="00EA0D6F" w:rsidP="00D47759">
      <w:pPr>
        <w:contextualSpacing/>
        <w:rPr>
          <w:rFonts w:cstheme="minorHAnsi"/>
          <w:sz w:val="22"/>
          <w:szCs w:val="22"/>
        </w:rPr>
      </w:pPr>
      <w:r>
        <w:rPr>
          <w:rFonts w:cstheme="minorHAnsi"/>
          <w:sz w:val="22"/>
          <w:szCs w:val="22"/>
        </w:rPr>
        <w:t>Joanna Norris</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AB2AA8" w14:textId="0EFF55E0" w:rsidR="00010B8A" w:rsidRDefault="008F2011" w:rsidP="0093721A">
      <w:pPr>
        <w:ind w:firstLine="360"/>
        <w:contextualSpacing/>
        <w:rPr>
          <w:rFonts w:eastAsia="Times New Roman"/>
          <w:sz w:val="22"/>
          <w:szCs w:val="22"/>
        </w:rPr>
      </w:pPr>
      <w:r w:rsidRPr="008F2011">
        <w:rPr>
          <w:rFonts w:eastAsia="Times New Roman"/>
          <w:sz w:val="22"/>
          <w:szCs w:val="22"/>
        </w:rPr>
        <w:t>I recommend using the Advanced Encryption Standard (AES) cipher. AES is a symmetric block cipher adopted as the encryption standard by the U.S. National Institute of Standards and Technology (NIST). It is well-established, fast, secure, and widely used across industries for securing sensitive data, including financial records.</w:t>
      </w:r>
      <w:r>
        <w:rPr>
          <w:rFonts w:eastAsia="Times New Roman"/>
          <w:sz w:val="22"/>
          <w:szCs w:val="22"/>
        </w:rPr>
        <w:t xml:space="preserve"> </w:t>
      </w:r>
      <w:r w:rsidRPr="008F2011">
        <w:rPr>
          <w:rFonts w:eastAsia="Times New Roman"/>
          <w:sz w:val="22"/>
          <w:szCs w:val="22"/>
        </w:rPr>
        <w:t>AES encrypts and decrypts data in fixed-size blocks of 128 bits using keys of 128, 192, or 256 bits.</w:t>
      </w:r>
      <w:r w:rsidR="0093721A">
        <w:rPr>
          <w:rFonts w:eastAsia="Times New Roman"/>
          <w:sz w:val="22"/>
          <w:szCs w:val="22"/>
        </w:rPr>
        <w:t xml:space="preserve"> </w:t>
      </w:r>
    </w:p>
    <w:p w14:paraId="1F0B100F" w14:textId="587EB8FE" w:rsidR="0093721A" w:rsidRDefault="0093721A" w:rsidP="0093721A">
      <w:pPr>
        <w:ind w:firstLine="360"/>
        <w:rPr>
          <w:rFonts w:eastAsia="Times New Roman"/>
          <w:sz w:val="22"/>
          <w:szCs w:val="22"/>
        </w:rPr>
      </w:pPr>
      <w:r w:rsidRPr="0093721A">
        <w:rPr>
          <w:rFonts w:eastAsia="Times New Roman"/>
          <w:sz w:val="22"/>
          <w:szCs w:val="22"/>
        </w:rPr>
        <w:t>Although AES itself is an encryption algorithm and not a hash function, file and message integrity verification (checksums) can be handled using secure hash algorithms such as</w:t>
      </w:r>
      <w:r>
        <w:rPr>
          <w:rFonts w:eastAsia="Times New Roman"/>
          <w:sz w:val="22"/>
          <w:szCs w:val="22"/>
        </w:rPr>
        <w:t xml:space="preserve"> </w:t>
      </w:r>
      <w:r w:rsidRPr="0093721A">
        <w:rPr>
          <w:rFonts w:eastAsia="Times New Roman"/>
          <w:sz w:val="22"/>
          <w:szCs w:val="22"/>
        </w:rPr>
        <w:t>SHA-256 (Secure Hash Algorithm with 256-bit output)</w:t>
      </w:r>
      <w:r>
        <w:rPr>
          <w:rFonts w:eastAsia="Times New Roman"/>
          <w:sz w:val="22"/>
          <w:szCs w:val="22"/>
        </w:rPr>
        <w:t xml:space="preserve">. </w:t>
      </w:r>
    </w:p>
    <w:p w14:paraId="5F3AA655" w14:textId="61504566" w:rsidR="0093721A" w:rsidRDefault="0093721A" w:rsidP="0093721A">
      <w:pPr>
        <w:ind w:firstLine="360"/>
        <w:rPr>
          <w:rFonts w:eastAsia="Times New Roman"/>
          <w:sz w:val="22"/>
          <w:szCs w:val="22"/>
        </w:rPr>
      </w:pPr>
      <w:r w:rsidRPr="0093721A">
        <w:rPr>
          <w:rFonts w:eastAsia="Times New Roman"/>
          <w:sz w:val="22"/>
          <w:szCs w:val="22"/>
        </w:rPr>
        <w:t>For AES, I recommend a 256-bit key size, which provides a high level of security and is considered quantum-resistant in practical scenarios. When paired with a secure mode of operation (such as GCM – Galois/Counter Mode), AES also ensures data confidentiality and integrity.</w:t>
      </w:r>
    </w:p>
    <w:p w14:paraId="471FED3A" w14:textId="6AE8C606" w:rsidR="0093721A" w:rsidRDefault="0093721A" w:rsidP="0093721A">
      <w:pPr>
        <w:ind w:firstLine="360"/>
        <w:rPr>
          <w:rFonts w:eastAsia="Times New Roman"/>
          <w:sz w:val="22"/>
          <w:szCs w:val="22"/>
        </w:rPr>
      </w:pPr>
      <w:r>
        <w:rPr>
          <w:rFonts w:eastAsia="Times New Roman"/>
          <w:sz w:val="22"/>
          <w:szCs w:val="22"/>
        </w:rPr>
        <w:t xml:space="preserve">AES uses symmetric keys, meaning the same key is used for both encryption and decryption, while asymmetric encryption uses a key pair and is slower. Using symmetric keys requires secure key </w:t>
      </w:r>
      <w:r w:rsidR="00A045D1" w:rsidRPr="00A045D1">
        <w:rPr>
          <w:rFonts w:eastAsia="Times New Roman"/>
          <w:sz w:val="22"/>
          <w:szCs w:val="22"/>
        </w:rPr>
        <w:t>generation and key distribution. Keys should be generated using a cryptographically secure random number generator (CSPRNG) to prevent predictability and brute-force attacks.</w:t>
      </w:r>
      <w:r w:rsidR="00A045D1">
        <w:rPr>
          <w:rFonts w:eastAsia="Times New Roman"/>
          <w:sz w:val="22"/>
          <w:szCs w:val="22"/>
        </w:rPr>
        <w:t xml:space="preserve"> </w:t>
      </w:r>
    </w:p>
    <w:p w14:paraId="01AE22D7" w14:textId="16E3A958" w:rsidR="00A045D1" w:rsidRPr="0093721A" w:rsidRDefault="00A045D1" w:rsidP="00A045D1">
      <w:pPr>
        <w:ind w:firstLine="360"/>
        <w:rPr>
          <w:rFonts w:eastAsia="Times New Roman"/>
          <w:sz w:val="22"/>
          <w:szCs w:val="22"/>
        </w:rPr>
      </w:pPr>
      <w:r w:rsidRPr="00A045D1">
        <w:rPr>
          <w:rFonts w:eastAsia="Times New Roman"/>
          <w:sz w:val="22"/>
          <w:szCs w:val="22"/>
        </w:rPr>
        <w:t>AES replaced DES (Data Encryption Standard) in 2001 after DES was deemed insecure due to its short key length (56 bits). AES has since become the global standard for secure encryption, endorsed by governments, financial institutions, and cloud providers.</w:t>
      </w:r>
      <w:r>
        <w:rPr>
          <w:rFonts w:eastAsia="Times New Roman"/>
          <w:sz w:val="22"/>
          <w:szCs w:val="22"/>
        </w:rPr>
        <w:t xml:space="preserve"> </w:t>
      </w:r>
      <w:r w:rsidRPr="00A045D1">
        <w:rPr>
          <w:rFonts w:eastAsia="Times New Roman"/>
          <w:sz w:val="22"/>
          <w:szCs w:val="22"/>
        </w:rPr>
        <w:t>Today, AES-256 is widely supported in libraries and frameworks, making it easy to implement within Artemis Financial’s Java application</w:t>
      </w:r>
      <w:r>
        <w:rPr>
          <w:rFonts w:eastAsia="Times New Roman"/>
          <w:sz w:val="22"/>
          <w:szCs w:val="22"/>
        </w:rPr>
        <w:t>.</w:t>
      </w:r>
    </w:p>
    <w:p w14:paraId="0EA4D2F9" w14:textId="165B92BF" w:rsidR="0093721A" w:rsidRPr="0093721A" w:rsidRDefault="0093721A" w:rsidP="0093721A">
      <w:pPr>
        <w:ind w:firstLine="360"/>
        <w:contextualSpacing/>
        <w:rPr>
          <w:rFonts w:eastAsia="Times New Roman"/>
          <w:sz w:val="22"/>
          <w:szCs w:val="22"/>
        </w:rPr>
      </w:pPr>
    </w:p>
    <w:p w14:paraId="7AFC1F91" w14:textId="77777777" w:rsidR="008F2011" w:rsidRPr="00B7788F" w:rsidRDefault="008F2011"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7A5BBC5" w14:textId="7EF16666" w:rsidR="00DB5652" w:rsidRDefault="001C2EC8" w:rsidP="00D47759">
      <w:pPr>
        <w:contextualSpacing/>
        <w:rPr>
          <w:rFonts w:eastAsia="Times New Roman"/>
          <w:sz w:val="22"/>
          <w:szCs w:val="22"/>
        </w:rPr>
      </w:pPr>
      <w:r>
        <w:rPr>
          <w:rFonts w:eastAsia="Times New Roman"/>
          <w:noProof/>
          <w:sz w:val="22"/>
          <w:szCs w:val="22"/>
        </w:rPr>
        <w:drawing>
          <wp:inline distT="0" distB="0" distL="0" distR="0" wp14:anchorId="0DF24D72" wp14:editId="593AE43E">
            <wp:extent cx="5943600" cy="2113915"/>
            <wp:effectExtent l="0" t="0" r="0" b="635"/>
            <wp:docPr id="128166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66305" name="Picture 128166305"/>
                    <pic:cNvPicPr/>
                  </pic:nvPicPr>
                  <pic:blipFill>
                    <a:blip r:embed="rId13">
                      <a:extLst>
                        <a:ext uri="{28A0092B-C50C-407E-A947-70E740481C1C}">
                          <a14:useLocalDpi xmlns:a14="http://schemas.microsoft.com/office/drawing/2010/main" val="0"/>
                        </a:ext>
                      </a:extLst>
                    </a:blip>
                    <a:stretch>
                      <a:fillRect/>
                    </a:stretch>
                  </pic:blipFill>
                  <pic:spPr>
                    <a:xfrm>
                      <a:off x="0" y="0"/>
                      <a:ext cx="5943600" cy="2113915"/>
                    </a:xfrm>
                    <a:prstGeom prst="rect">
                      <a:avLst/>
                    </a:prstGeom>
                  </pic:spPr>
                </pic:pic>
              </a:graphicData>
            </a:graphic>
          </wp:inline>
        </w:drawing>
      </w:r>
    </w:p>
    <w:p w14:paraId="593687E4" w14:textId="77777777" w:rsidR="001C2EC8" w:rsidRPr="00B7788F" w:rsidRDefault="001C2EC8" w:rsidP="00D47759">
      <w:pPr>
        <w:contextualSpacing/>
        <w:rPr>
          <w:rFonts w:cstheme="minorHAnsi"/>
          <w:sz w:val="22"/>
          <w:szCs w:val="22"/>
        </w:rPr>
      </w:pPr>
    </w:p>
    <w:p w14:paraId="6BA341E9" w14:textId="36C622D8" w:rsidR="00DB5652" w:rsidRPr="007F30C8" w:rsidRDefault="00E33862" w:rsidP="00D47759">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573BB579" w14:textId="28ADD287" w:rsidR="007F30C8" w:rsidRPr="007F30C8" w:rsidRDefault="007F30C8"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2D1FE800" wp14:editId="2C68780B">
            <wp:extent cx="5943600" cy="1798955"/>
            <wp:effectExtent l="0" t="0" r="0" b="0"/>
            <wp:docPr id="13172375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237506" name="Picture 1317237506"/>
                    <pic:cNvPicPr/>
                  </pic:nvPicPr>
                  <pic:blipFill>
                    <a:blip r:embed="rId14">
                      <a:extLst>
                        <a:ext uri="{28A0092B-C50C-407E-A947-70E740481C1C}">
                          <a14:useLocalDpi xmlns:a14="http://schemas.microsoft.com/office/drawing/2010/main" val="0"/>
                        </a:ext>
                      </a:extLst>
                    </a:blip>
                    <a:stretch>
                      <a:fillRect/>
                    </a:stretch>
                  </pic:blipFill>
                  <pic:spPr>
                    <a:xfrm>
                      <a:off x="0" y="0"/>
                      <a:ext cx="5943600" cy="1798955"/>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2CB31EF5" w14:textId="2BB6A467" w:rsidR="003978A0" w:rsidRDefault="00582398"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18CDD372" wp14:editId="51E1CB7E">
            <wp:extent cx="5943600" cy="1515110"/>
            <wp:effectExtent l="0" t="0" r="0" b="8890"/>
            <wp:docPr id="1762967580"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967580" name="Picture 3"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1515110"/>
                    </a:xfrm>
                    <a:prstGeom prst="rect">
                      <a:avLst/>
                    </a:prstGeom>
                  </pic:spPr>
                </pic:pic>
              </a:graphicData>
            </a:graphic>
          </wp:inline>
        </w:drawing>
      </w:r>
    </w:p>
    <w:p w14:paraId="20A28788" w14:textId="5BA7024B" w:rsidR="00582398" w:rsidRDefault="00582398"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27DA683E" wp14:editId="0BAB07A6">
            <wp:extent cx="5267853" cy="5572125"/>
            <wp:effectExtent l="0" t="0" r="9525" b="0"/>
            <wp:docPr id="1118350935"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350935" name="Picture 4"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270172" cy="5574578"/>
                    </a:xfrm>
                    <a:prstGeom prst="rect">
                      <a:avLst/>
                    </a:prstGeom>
                  </pic:spPr>
                </pic:pic>
              </a:graphicData>
            </a:graphic>
          </wp:inline>
        </w:drawing>
      </w:r>
      <w:r w:rsidR="00077BCE">
        <w:rPr>
          <w:rFonts w:eastAsia="Times New Roman" w:cstheme="minorHAnsi"/>
          <w:sz w:val="22"/>
          <w:szCs w:val="22"/>
        </w:rPr>
        <w:t xml:space="preserve"> </w:t>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75B70F3E" w14:textId="4CF8B3E2" w:rsidR="00DB5652" w:rsidRDefault="00202486" w:rsidP="00D47759">
      <w:pPr>
        <w:contextualSpacing/>
        <w:rPr>
          <w:rFonts w:cstheme="minorHAnsi"/>
          <w:sz w:val="22"/>
          <w:szCs w:val="22"/>
        </w:rPr>
      </w:pPr>
      <w:r>
        <w:rPr>
          <w:rFonts w:cstheme="minorHAnsi"/>
          <w:noProof/>
          <w:sz w:val="22"/>
          <w:szCs w:val="22"/>
        </w:rPr>
        <w:lastRenderedPageBreak/>
        <w:drawing>
          <wp:inline distT="0" distB="0" distL="0" distR="0" wp14:anchorId="7C19C9BA" wp14:editId="74B98C78">
            <wp:extent cx="3748405" cy="8229600"/>
            <wp:effectExtent l="0" t="0" r="4445" b="0"/>
            <wp:docPr id="95634736" name="Picture 5"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34736" name="Picture 5" descr="A screen shot of a computer screen&#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3748405" cy="8229600"/>
                    </a:xfrm>
                    <a:prstGeom prst="rect">
                      <a:avLst/>
                    </a:prstGeom>
                  </pic:spPr>
                </pic:pic>
              </a:graphicData>
            </a:graphic>
          </wp:inline>
        </w:drawing>
      </w:r>
    </w:p>
    <w:p w14:paraId="2080AF7C" w14:textId="34A3703C" w:rsidR="00202486" w:rsidRPr="00B7788F" w:rsidRDefault="00202486" w:rsidP="00D47759">
      <w:pPr>
        <w:contextualSpacing/>
        <w:rPr>
          <w:rFonts w:cstheme="minorHAnsi"/>
          <w:sz w:val="22"/>
          <w:szCs w:val="22"/>
        </w:rPr>
      </w:pPr>
      <w:r>
        <w:rPr>
          <w:rFonts w:cstheme="minorHAnsi"/>
          <w:noProof/>
          <w:sz w:val="22"/>
          <w:szCs w:val="22"/>
        </w:rPr>
        <w:lastRenderedPageBreak/>
        <w:drawing>
          <wp:inline distT="0" distB="0" distL="0" distR="0" wp14:anchorId="7D158DB4" wp14:editId="582DEF96">
            <wp:extent cx="5943600" cy="5680075"/>
            <wp:effectExtent l="0" t="0" r="0" b="0"/>
            <wp:docPr id="1034787968"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787968" name="Picture 6" descr="A screenshot of a computer&#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943600" cy="5680075"/>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7B9F371C" w14:textId="2AE80531" w:rsidR="00E33862" w:rsidRDefault="00202486" w:rsidP="00D47759">
      <w:pPr>
        <w:contextualSpacing/>
        <w:rPr>
          <w:rFonts w:cstheme="minorHAnsi"/>
          <w:sz w:val="22"/>
          <w:szCs w:val="22"/>
        </w:rPr>
      </w:pPr>
      <w:r>
        <w:rPr>
          <w:rFonts w:cstheme="minorHAnsi"/>
          <w:noProof/>
          <w:sz w:val="22"/>
          <w:szCs w:val="22"/>
        </w:rPr>
        <w:lastRenderedPageBreak/>
        <w:drawing>
          <wp:inline distT="0" distB="0" distL="0" distR="0" wp14:anchorId="221BF574" wp14:editId="0E55215A">
            <wp:extent cx="5943600" cy="3529965"/>
            <wp:effectExtent l="0" t="0" r="0" b="0"/>
            <wp:docPr id="1739322534" name="Picture 7"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322534" name="Picture 7" descr="A screen shot of a computer program&#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943600" cy="3529965"/>
                    </a:xfrm>
                    <a:prstGeom prst="rect">
                      <a:avLst/>
                    </a:prstGeom>
                  </pic:spPr>
                </pic:pic>
              </a:graphicData>
            </a:graphic>
          </wp:inline>
        </w:drawing>
      </w:r>
    </w:p>
    <w:p w14:paraId="131B1DEE" w14:textId="540C36C9" w:rsidR="00202486" w:rsidRPr="00B7788F" w:rsidRDefault="00202486" w:rsidP="00D47759">
      <w:pPr>
        <w:contextualSpacing/>
        <w:rPr>
          <w:rFonts w:cstheme="minorHAnsi"/>
          <w:sz w:val="22"/>
          <w:szCs w:val="22"/>
        </w:rPr>
      </w:pPr>
      <w:r>
        <w:rPr>
          <w:rFonts w:cstheme="minorHAnsi"/>
          <w:noProof/>
          <w:sz w:val="22"/>
          <w:szCs w:val="22"/>
        </w:rPr>
        <w:lastRenderedPageBreak/>
        <w:drawing>
          <wp:inline distT="0" distB="0" distL="0" distR="0" wp14:anchorId="739EA431" wp14:editId="5E09A217">
            <wp:extent cx="5943600" cy="4754880"/>
            <wp:effectExtent l="0" t="0" r="0" b="7620"/>
            <wp:docPr id="30007816" name="Picture 8"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7816" name="Picture 8" descr="A screen shot of a computer program&#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0772A9BF" w:rsidR="620D193F" w:rsidRDefault="00202486" w:rsidP="006C7AD3">
      <w:pPr>
        <w:ind w:firstLine="360"/>
        <w:contextualSpacing/>
        <w:rPr>
          <w:rFonts w:eastAsia="Times New Roman"/>
          <w:sz w:val="22"/>
          <w:szCs w:val="22"/>
        </w:rPr>
      </w:pPr>
      <w:r w:rsidRPr="00202486">
        <w:rPr>
          <w:rFonts w:eastAsia="Times New Roman"/>
          <w:sz w:val="22"/>
          <w:szCs w:val="22"/>
        </w:rPr>
        <w:t xml:space="preserve">The codebase was refactored to comply with security testing protocols by upgrading outdated dependencies to their most secure available versions. The vulnerability assessment process involved identifying existing vulnerabilities, upgrading critical components such as </w:t>
      </w:r>
      <w:proofErr w:type="spellStart"/>
      <w:r w:rsidRPr="00202486">
        <w:rPr>
          <w:rFonts w:eastAsia="Times New Roman"/>
          <w:sz w:val="22"/>
          <w:szCs w:val="22"/>
        </w:rPr>
        <w:t>SnakeYAML</w:t>
      </w:r>
      <w:proofErr w:type="spellEnd"/>
      <w:r w:rsidRPr="00202486">
        <w:rPr>
          <w:rFonts w:eastAsia="Times New Roman"/>
          <w:sz w:val="22"/>
          <w:szCs w:val="22"/>
        </w:rPr>
        <w:t xml:space="preserve">, Jackson </w:t>
      </w:r>
      <w:proofErr w:type="spellStart"/>
      <w:r w:rsidRPr="00202486">
        <w:rPr>
          <w:rFonts w:eastAsia="Times New Roman"/>
          <w:sz w:val="22"/>
          <w:szCs w:val="22"/>
        </w:rPr>
        <w:t>Databind</w:t>
      </w:r>
      <w:proofErr w:type="spellEnd"/>
      <w:r w:rsidRPr="00202486">
        <w:rPr>
          <w:rFonts w:eastAsia="Times New Roman"/>
          <w:sz w:val="22"/>
          <w:szCs w:val="22"/>
        </w:rPr>
        <w:t xml:space="preserve">, and </w:t>
      </w:r>
      <w:proofErr w:type="spellStart"/>
      <w:r w:rsidRPr="00202486">
        <w:rPr>
          <w:rFonts w:eastAsia="Times New Roman"/>
          <w:sz w:val="22"/>
          <w:szCs w:val="22"/>
        </w:rPr>
        <w:t>Logback</w:t>
      </w:r>
      <w:proofErr w:type="spellEnd"/>
      <w:r w:rsidRPr="00202486">
        <w:rPr>
          <w:rFonts w:eastAsia="Times New Roman"/>
          <w:sz w:val="22"/>
          <w:szCs w:val="22"/>
        </w:rPr>
        <w:t>, and then validating the updates through the OWASP Dependency-Check tool.</w:t>
      </w:r>
      <w:r w:rsidR="006C7AD3">
        <w:rPr>
          <w:rFonts w:eastAsia="Times New Roman"/>
          <w:sz w:val="22"/>
          <w:szCs w:val="22"/>
        </w:rPr>
        <w:t xml:space="preserve"> However, vulnerabilities persisted despite upgrades, specifically within the Spring Framework and Tomcat components. There is still one vulnerability left on the report because I had suppressed the same CVE multiple times, yet it kept reappearing with different identifiers. Yet, by upgrading </w:t>
      </w:r>
      <w:r w:rsidR="006C7AD3" w:rsidRPr="006C7AD3">
        <w:rPr>
          <w:rFonts w:eastAsia="Times New Roman"/>
          <w:sz w:val="22"/>
          <w:szCs w:val="22"/>
        </w:rPr>
        <w:t>libraries and suppressing only validated false positives, we strengthened the application’s defense against known vulnerabilities.</w:t>
      </w:r>
    </w:p>
    <w:p w14:paraId="5F630B03" w14:textId="4C9E1E6B" w:rsidR="006C7AD3" w:rsidRDefault="006C7AD3" w:rsidP="006C7AD3">
      <w:pPr>
        <w:ind w:firstLine="360"/>
        <w:contextualSpacing/>
        <w:rPr>
          <w:rFonts w:eastAsia="Times New Roman"/>
          <w:sz w:val="22"/>
          <w:szCs w:val="22"/>
        </w:rPr>
      </w:pPr>
      <w:r w:rsidRPr="006C7AD3">
        <w:rPr>
          <w:rFonts w:eastAsia="Times New Roman"/>
          <w:sz w:val="22"/>
          <w:szCs w:val="22"/>
        </w:rPr>
        <w:t>To add further layers of security, I ensured the application enforced HTTPS for all communications and verified SHA-256 checksums on files to guard against tampering. These additional measures enhanced the application’s resilience beyond dependency management, providing defense-in-depth according to secure software development practices.</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31DBF4B3" w:rsidR="00974AE3" w:rsidRDefault="006C7AD3" w:rsidP="00D67C10">
      <w:pPr>
        <w:ind w:firstLine="360"/>
        <w:contextualSpacing/>
        <w:rPr>
          <w:rFonts w:eastAsia="Times New Roman"/>
          <w:sz w:val="22"/>
          <w:szCs w:val="22"/>
        </w:rPr>
      </w:pPr>
      <w:r w:rsidRPr="006C7AD3">
        <w:rPr>
          <w:rFonts w:eastAsia="Times New Roman"/>
          <w:sz w:val="22"/>
          <w:szCs w:val="22"/>
        </w:rPr>
        <w:t xml:space="preserve">Industry-standard best practices were consistently applied to maintain and enhance the security posture of the software. Dependency upgrades followed </w:t>
      </w:r>
      <w:proofErr w:type="gramStart"/>
      <w:r w:rsidRPr="006C7AD3">
        <w:rPr>
          <w:rFonts w:eastAsia="Times New Roman"/>
          <w:sz w:val="22"/>
          <w:szCs w:val="22"/>
        </w:rPr>
        <w:t>National</w:t>
      </w:r>
      <w:proofErr w:type="gramEnd"/>
      <w:r w:rsidRPr="006C7AD3">
        <w:rPr>
          <w:rFonts w:eastAsia="Times New Roman"/>
          <w:sz w:val="22"/>
          <w:szCs w:val="22"/>
        </w:rPr>
        <w:t xml:space="preserve"> Institute of Standards and Technology </w:t>
      </w:r>
      <w:r w:rsidRPr="006C7AD3">
        <w:rPr>
          <w:rFonts w:eastAsia="Times New Roman"/>
          <w:sz w:val="22"/>
          <w:szCs w:val="22"/>
        </w:rPr>
        <w:lastRenderedPageBreak/>
        <w:t xml:space="preserve">(NIST) guidelines for patch management, ensuring that libraries were </w:t>
      </w:r>
      <w:proofErr w:type="gramStart"/>
      <w:r w:rsidRPr="006C7AD3">
        <w:rPr>
          <w:rFonts w:eastAsia="Times New Roman"/>
          <w:sz w:val="22"/>
          <w:szCs w:val="22"/>
        </w:rPr>
        <w:t>current</w:t>
      </w:r>
      <w:proofErr w:type="gramEnd"/>
      <w:r w:rsidRPr="006C7AD3">
        <w:rPr>
          <w:rFonts w:eastAsia="Times New Roman"/>
          <w:sz w:val="22"/>
          <w:szCs w:val="22"/>
        </w:rPr>
        <w:t xml:space="preserve"> and vulnerabilities addressed promptly. Suppression of vulnerabilities was performed selectively and only after verifying that a given vulnerability was not exploitable in our context, thereby preventing false assurance while maintaining auditability.</w:t>
      </w:r>
    </w:p>
    <w:p w14:paraId="44DA6465" w14:textId="5645D21A" w:rsidR="00D67C10" w:rsidRDefault="00D67C10" w:rsidP="00D47759">
      <w:pPr>
        <w:contextualSpacing/>
        <w:rPr>
          <w:rFonts w:eastAsia="Times New Roman"/>
          <w:sz w:val="22"/>
          <w:szCs w:val="22"/>
        </w:rPr>
      </w:pPr>
      <w:r>
        <w:rPr>
          <w:rFonts w:eastAsia="Times New Roman"/>
          <w:sz w:val="22"/>
          <w:szCs w:val="22"/>
        </w:rPr>
        <w:tab/>
      </w:r>
      <w:r w:rsidRPr="00D67C10">
        <w:rPr>
          <w:rFonts w:eastAsia="Times New Roman"/>
          <w:sz w:val="22"/>
          <w:szCs w:val="22"/>
        </w:rPr>
        <w:t>Maintaining existing security also involved verifying that newly introduced versions of libraries were properly validated against known vulnerabilities before being integrated into the project. This ensured that security regressions were avoided during the upgrade process.</w:t>
      </w:r>
    </w:p>
    <w:p w14:paraId="1179A007" w14:textId="211396B5" w:rsidR="00D67C10" w:rsidRPr="00B7788F" w:rsidRDefault="00D67C10" w:rsidP="00D47759">
      <w:pPr>
        <w:contextualSpacing/>
        <w:rPr>
          <w:rFonts w:eastAsia="Times New Roman"/>
          <w:sz w:val="22"/>
          <w:szCs w:val="22"/>
        </w:rPr>
      </w:pPr>
      <w:r>
        <w:rPr>
          <w:rFonts w:eastAsia="Times New Roman"/>
          <w:sz w:val="22"/>
          <w:szCs w:val="22"/>
        </w:rPr>
        <w:tab/>
      </w:r>
      <w:r w:rsidRPr="00D67C10">
        <w:rPr>
          <w:rFonts w:eastAsia="Times New Roman"/>
          <w:sz w:val="22"/>
          <w:szCs w:val="22"/>
        </w:rPr>
        <w:t>Applying industry standard best practices for secure coding, such as upgrading vulnerable components, enforcing secure communication, validating data integrity, and responsibly handling known vulnerabilities, directly contributes to the company’s overall well-being. It reduces the risk of exploitation, protects customer data, ensures regulatory compliance, and ultimately preserves the company’s reputation and trustworthiness in the marketplace. A proactive security posture lowers the likelihood of breaches, minimizes potential legal liability, and strengthens operational resilience.</w:t>
      </w:r>
    </w:p>
    <w:sectPr w:rsidR="00D67C10" w:rsidRPr="00B7788F" w:rsidSect="00C41B36">
      <w:headerReference w:type="default" r:id="rId21"/>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52E633" w14:textId="77777777" w:rsidR="00296064" w:rsidRDefault="00296064" w:rsidP="002F3F84">
      <w:r>
        <w:separator/>
      </w:r>
    </w:p>
  </w:endnote>
  <w:endnote w:type="continuationSeparator" w:id="0">
    <w:p w14:paraId="2696E65E" w14:textId="77777777" w:rsidR="00296064" w:rsidRDefault="00296064" w:rsidP="002F3F84">
      <w:r>
        <w:continuationSeparator/>
      </w:r>
    </w:p>
  </w:endnote>
  <w:endnote w:type="continuationNotice" w:id="1">
    <w:p w14:paraId="40D82EEE" w14:textId="77777777" w:rsidR="00296064" w:rsidRDefault="002960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2CC59A" w14:textId="77777777" w:rsidR="00296064" w:rsidRDefault="00296064" w:rsidP="002F3F84">
      <w:r>
        <w:separator/>
      </w:r>
    </w:p>
  </w:footnote>
  <w:footnote w:type="continuationSeparator" w:id="0">
    <w:p w14:paraId="39BF2794" w14:textId="77777777" w:rsidR="00296064" w:rsidRDefault="00296064" w:rsidP="002F3F84">
      <w:r>
        <w:continuationSeparator/>
      </w:r>
    </w:p>
  </w:footnote>
  <w:footnote w:type="continuationNotice" w:id="1">
    <w:p w14:paraId="377250E2" w14:textId="77777777" w:rsidR="00296064" w:rsidRDefault="002960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401446891">
    <w:abstractNumId w:val="16"/>
  </w:num>
  <w:num w:numId="2" w16cid:durableId="555900333">
    <w:abstractNumId w:val="20"/>
  </w:num>
  <w:num w:numId="3" w16cid:durableId="411584371">
    <w:abstractNumId w:val="6"/>
  </w:num>
  <w:num w:numId="4" w16cid:durableId="2083402952">
    <w:abstractNumId w:val="8"/>
  </w:num>
  <w:num w:numId="5" w16cid:durableId="637107555">
    <w:abstractNumId w:val="4"/>
  </w:num>
  <w:num w:numId="6" w16cid:durableId="1283727270">
    <w:abstractNumId w:val="17"/>
  </w:num>
  <w:num w:numId="7" w16cid:durableId="1313367040">
    <w:abstractNumId w:val="12"/>
    <w:lvlOverride w:ilvl="0">
      <w:lvl w:ilvl="0">
        <w:numFmt w:val="lowerLetter"/>
        <w:lvlText w:val="%1."/>
        <w:lvlJc w:val="left"/>
      </w:lvl>
    </w:lvlOverride>
  </w:num>
  <w:num w:numId="8" w16cid:durableId="966006684">
    <w:abstractNumId w:val="5"/>
  </w:num>
  <w:num w:numId="9" w16cid:durableId="1698120325">
    <w:abstractNumId w:val="1"/>
    <w:lvlOverride w:ilvl="0">
      <w:lvl w:ilvl="0">
        <w:numFmt w:val="lowerLetter"/>
        <w:lvlText w:val="%1."/>
        <w:lvlJc w:val="left"/>
      </w:lvl>
    </w:lvlOverride>
  </w:num>
  <w:num w:numId="10" w16cid:durableId="623194764">
    <w:abstractNumId w:val="0"/>
  </w:num>
  <w:num w:numId="11" w16cid:durableId="358970821">
    <w:abstractNumId w:val="3"/>
  </w:num>
  <w:num w:numId="12" w16cid:durableId="141627496">
    <w:abstractNumId w:val="19"/>
  </w:num>
  <w:num w:numId="13" w16cid:durableId="233247494">
    <w:abstractNumId w:val="15"/>
  </w:num>
  <w:num w:numId="14" w16cid:durableId="1029066257">
    <w:abstractNumId w:val="2"/>
  </w:num>
  <w:num w:numId="15" w16cid:durableId="1770538399">
    <w:abstractNumId w:val="11"/>
  </w:num>
  <w:num w:numId="16" w16cid:durableId="888420350">
    <w:abstractNumId w:val="9"/>
  </w:num>
  <w:num w:numId="17" w16cid:durableId="1854996644">
    <w:abstractNumId w:val="14"/>
  </w:num>
  <w:num w:numId="18" w16cid:durableId="3018270">
    <w:abstractNumId w:val="18"/>
  </w:num>
  <w:num w:numId="19" w16cid:durableId="1180972411">
    <w:abstractNumId w:val="7"/>
  </w:num>
  <w:num w:numId="20" w16cid:durableId="972758760">
    <w:abstractNumId w:val="13"/>
  </w:num>
  <w:num w:numId="21" w16cid:durableId="17272178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321D1"/>
    <w:rsid w:val="0004531D"/>
    <w:rsid w:val="00052476"/>
    <w:rsid w:val="00077BCE"/>
    <w:rsid w:val="000C2FCB"/>
    <w:rsid w:val="000C7320"/>
    <w:rsid w:val="000D06F0"/>
    <w:rsid w:val="000D241B"/>
    <w:rsid w:val="00102660"/>
    <w:rsid w:val="0010436E"/>
    <w:rsid w:val="00114D54"/>
    <w:rsid w:val="00120ACD"/>
    <w:rsid w:val="00144936"/>
    <w:rsid w:val="00151233"/>
    <w:rsid w:val="00164480"/>
    <w:rsid w:val="0016453B"/>
    <w:rsid w:val="00177698"/>
    <w:rsid w:val="00182245"/>
    <w:rsid w:val="00183C9F"/>
    <w:rsid w:val="00187548"/>
    <w:rsid w:val="001933BA"/>
    <w:rsid w:val="001A381D"/>
    <w:rsid w:val="001B4F8C"/>
    <w:rsid w:val="001C2EC8"/>
    <w:rsid w:val="001F5F49"/>
    <w:rsid w:val="002001E0"/>
    <w:rsid w:val="00202486"/>
    <w:rsid w:val="00234FC3"/>
    <w:rsid w:val="00246C90"/>
    <w:rsid w:val="00271E26"/>
    <w:rsid w:val="002778D5"/>
    <w:rsid w:val="00277B38"/>
    <w:rsid w:val="00281DF1"/>
    <w:rsid w:val="00292377"/>
    <w:rsid w:val="00296064"/>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2398"/>
    <w:rsid w:val="00583A02"/>
    <w:rsid w:val="005A1B32"/>
    <w:rsid w:val="005A6070"/>
    <w:rsid w:val="005A7C7F"/>
    <w:rsid w:val="005B1D49"/>
    <w:rsid w:val="005C593C"/>
    <w:rsid w:val="005D020B"/>
    <w:rsid w:val="005E6088"/>
    <w:rsid w:val="005F574E"/>
    <w:rsid w:val="006017FD"/>
    <w:rsid w:val="006201FC"/>
    <w:rsid w:val="00632C6F"/>
    <w:rsid w:val="00633225"/>
    <w:rsid w:val="006A66A8"/>
    <w:rsid w:val="006B66FE"/>
    <w:rsid w:val="006C7AD3"/>
    <w:rsid w:val="006E1A73"/>
    <w:rsid w:val="006E3003"/>
    <w:rsid w:val="00701A84"/>
    <w:rsid w:val="0071273D"/>
    <w:rsid w:val="0076659B"/>
    <w:rsid w:val="0077379D"/>
    <w:rsid w:val="00790486"/>
    <w:rsid w:val="00793EE5"/>
    <w:rsid w:val="00797EC8"/>
    <w:rsid w:val="007F30C8"/>
    <w:rsid w:val="00816AE9"/>
    <w:rsid w:val="00824ABB"/>
    <w:rsid w:val="00826665"/>
    <w:rsid w:val="00844A5D"/>
    <w:rsid w:val="00861EC1"/>
    <w:rsid w:val="008A7514"/>
    <w:rsid w:val="008B068E"/>
    <w:rsid w:val="008F2011"/>
    <w:rsid w:val="0093721A"/>
    <w:rsid w:val="00940B1A"/>
    <w:rsid w:val="00957280"/>
    <w:rsid w:val="009714E8"/>
    <w:rsid w:val="00974AE3"/>
    <w:rsid w:val="009826D6"/>
    <w:rsid w:val="009C6202"/>
    <w:rsid w:val="009C7B99"/>
    <w:rsid w:val="009D11F1"/>
    <w:rsid w:val="009D3129"/>
    <w:rsid w:val="009F285B"/>
    <w:rsid w:val="00A045D1"/>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05F41"/>
    <w:rsid w:val="00C32F3D"/>
    <w:rsid w:val="00C41B36"/>
    <w:rsid w:val="00C56FC2"/>
    <w:rsid w:val="00C64D09"/>
    <w:rsid w:val="00C67FA3"/>
    <w:rsid w:val="00CE44E9"/>
    <w:rsid w:val="00CF445D"/>
    <w:rsid w:val="00CF618A"/>
    <w:rsid w:val="00D0558B"/>
    <w:rsid w:val="00D47759"/>
    <w:rsid w:val="00D63ED5"/>
    <w:rsid w:val="00D67C10"/>
    <w:rsid w:val="00DB5652"/>
    <w:rsid w:val="00DD6742"/>
    <w:rsid w:val="00E02BD0"/>
    <w:rsid w:val="00E33862"/>
    <w:rsid w:val="00E4044A"/>
    <w:rsid w:val="00E5594E"/>
    <w:rsid w:val="00E66FC0"/>
    <w:rsid w:val="00E941D0"/>
    <w:rsid w:val="00E942CA"/>
    <w:rsid w:val="00EA0D6F"/>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3943</TotalTime>
  <Pages>11</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6718</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Norris, Joanna</cp:lastModifiedBy>
  <cp:revision>52</cp:revision>
  <dcterms:created xsi:type="dcterms:W3CDTF">2022-04-20T12:43:00Z</dcterms:created>
  <dcterms:modified xsi:type="dcterms:W3CDTF">2025-04-27T16:43:00Z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