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047857"/>
          <w:sz w:val="30"/>
          <w:szCs w:val="30"/>
        </w:rPr>
        <w:t xml:space="preserve">Agreement Analyzer</w:t>
      </w:r>
      <w:r>
        <w:rPr>
          <w:rFonts w:ascii="Calibri" w:cs="Calibri" w:eastAsia="Calibri" w:hAnsi="Calibri"/>
          <w:b/>
          <w:bCs/>
          <w:color w:val="1C2433"/>
          <w:sz w:val="24"/>
          <w:szCs w:val="24"/>
        </w:rPr>
        <w:t xml:space="preserve">  ·  How it works, and how to sell it</w:t>
      </w:r>
    </w:p>
    <w:p>
      <w:pPr>
        <w:pBdr>
          <w:bottom w:val="single" w:color="047857" w:sz="6" w:space="1"/>
        </w:pBdr>
        <w:spacing w:after="50" w:before="120"/>
      </w:pPr>
      <w:r>
        <w:rPr>
          <w:rFonts w:ascii="Calibri" w:cs="Calibri" w:eastAsia="Calibri" w:hAnsi="Calibri"/>
          <w:b/>
          <w:bCs/>
          <w:color w:val="1C2433"/>
          <w:sz w:val="21"/>
          <w:szCs w:val="21"/>
        </w:rPr>
        <w:t xml:space="preserve">How it works, from upload to answer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8966"/>
      </w:tblGrid>
      <w:tr>
        <w:tc>
          <w:tcPr>
            <w:tcW w:type="dxa" w:w="1500"/>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1. Upload</w:t>
            </w:r>
          </w:p>
        </w:tc>
        <w:tc>
          <w:tcPr>
            <w:tcW w:type="dxa" w:w="8966"/>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color w:val="1C2433"/>
                <w:sz w:val="17"/>
                <w:szCs w:val="17"/>
              </w:rPr>
              <w:t xml:space="preserve">The browser sends the file over HTTPS. The server checks its real type from the first bytes (PDF, Word, image, text), not the file name, so a renamed .exe is rejected. Size, page and pixel limits stop oversized or "bomb" files. The analysis then runs in a background queue while the page shows live progress.</w:t>
            </w:r>
          </w:p>
        </w:tc>
      </w:tr>
      <w:tr>
        <w:tc>
          <w:tcPr>
            <w:tcW w:type="dxa" w:w="1500"/>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2. Reading &amp; OCR</w:t>
            </w:r>
          </w:p>
        </w:tc>
        <w:tc>
          <w:tcPr>
            <w:tcW w:type="dxa" w:w="8966"/>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color w:val="1C2433"/>
                <w:sz w:val="17"/>
                <w:szCs w:val="17"/>
              </w:rPr>
              <w:t xml:space="preserve">Digital PDFs: pdf.js reads every word with its exact position on the page. Scanned pages: rendered to an image (~200 DPI), cleaned with sharp (straighten, grayscale, contrast, sharpen), then read by Tesseract OCR. Photos: same clean-up and OCR. Word: text read from .docx/.doc. Each word keeps its page coordinates, which later become the highlights.</w:t>
            </w:r>
          </w:p>
        </w:tc>
      </w:tr>
      <w:tr>
        <w:tc>
          <w:tcPr>
            <w:tcW w:type="dxa" w:w="1500"/>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3. Languages</w:t>
            </w:r>
          </w:p>
        </w:tc>
        <w:tc>
          <w:tcPr>
            <w:tcW w:type="dxa" w:w="8966"/>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color w:val="1C2433"/>
                <w:sz w:val="17"/>
                <w:szCs w:val="17"/>
              </w:rPr>
              <w:t xml:space="preserve">OCR reads English plus 8 Indian languages (Hindi, Marathi, Bengali, Tamil, Telugu, Gujarati, Kannada, Malayalam); the user picks the document language and English is always read alongside. Risk rules understand English and Hindi; explanations, chat, warnings and letters are written in English or Hindi, and the browser can read them aloud.</w:t>
            </w:r>
          </w:p>
        </w:tc>
      </w:tr>
      <w:tr>
        <w:tc>
          <w:tcPr>
            <w:tcW w:type="dxa" w:w="1500"/>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4. Analysis</w:t>
            </w:r>
          </w:p>
        </w:tc>
        <w:tc>
          <w:tcPr>
            <w:tcW w:type="dxa" w:w="8966"/>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color w:val="1C2433"/>
                <w:sz w:val="17"/>
                <w:szCs w:val="17"/>
              </w:rPr>
              <w:t xml:space="preserve">The text is split into clauses using headings, numbering and paragraphs. A document check first confirms it is really an agreement. A rule engine modelled on real loan terms then rates each clause: it fires only on operative wording ("will be deducted", "the lender may revise"), skips negations ("no prepayment charges"), and grades severity as practice does (a disclosed 1% fee = caution; a non-refundable upfront fee or a rate changed "at sole discretion" = high). It also detects hidden tiny text and instructions aimed at AI. Loan terms are extracted and the true APR is solved from the cash flows.</w:t>
            </w:r>
          </w:p>
        </w:tc>
      </w:tr>
      <w:tr>
        <w:tc>
          <w:tcPr>
            <w:tcW w:type="dxa" w:w="1500"/>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5. AI</w:t>
            </w:r>
          </w:p>
        </w:tc>
        <w:tc>
          <w:tcPr>
            <w:tcW w:type="dxa" w:w="8966"/>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color w:val="1C2433"/>
                <w:sz w:val="17"/>
                <w:szCs w:val="17"/>
              </w:rPr>
              <w:t xml:space="preserve">Optional OpenAI writes friendlier explanations and answers chat. Before any AI call, Aadhaar, PAN, phone, email, account and card numbers are masked, and document text is marked as untrusted. The AI can only write explanation text; risk levels always come from the tested rules. Without a key, a built-in engine gives the same answers from the user's own clauses.</w:t>
            </w:r>
          </w:p>
        </w:tc>
      </w:tr>
      <w:tr>
        <w:tc>
          <w:tcPr>
            <w:tcW w:type="dxa" w:w="1500"/>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6. Security</w:t>
            </w:r>
          </w:p>
        </w:tc>
        <w:tc>
          <w:tcPr>
            <w:tcW w:type="dxa" w:w="8966"/>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color w:val="1C2433"/>
                <w:sz w:val="17"/>
                <w:szCs w:val="17"/>
              </w:rPr>
              <w:t xml:space="preserve">Login tokens are verified on the server (Clerk, or signed guest sessions for the demo); client-sent user IDs are never trusted. Every read is checked against the owner. Security headers, strict CORS, rate limits, input validation and generic error messages protect the API. 28 automated tests cover these.</w:t>
            </w:r>
          </w:p>
        </w:tc>
      </w:tr>
      <w:tr>
        <w:tc>
          <w:tcPr>
            <w:tcW w:type="dxa" w:w="1500"/>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7. Storage</w:t>
            </w:r>
          </w:p>
        </w:tc>
        <w:tc>
          <w:tcPr>
            <w:tcW w:type="dxa" w:w="8966"/>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color w:val="1C2433"/>
                <w:sz w:val="17"/>
                <w:szCs w:val="17"/>
              </w:rPr>
              <w:t xml:space="preserve">Every record and file is encrypted with AES-256-GCM before it is saved, on local disk or in Supabase (Postgres plus a private file bucket), so a stolen database is unreadable. Users can permanently delete their data.</w:t>
            </w:r>
          </w:p>
        </w:tc>
      </w:tr>
      <w:tr>
        <w:tc>
          <w:tcPr>
            <w:tcW w:type="dxa" w:w="1500"/>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8. Backend</w:t>
            </w:r>
          </w:p>
        </w:tc>
        <w:tc>
          <w:tcPr>
            <w:tcW w:type="dxa" w:w="8966"/>
            <w:tcBorders>
              <w:top w:val="single" w:color="D6DDD8" w:sz="4"/>
              <w:left w:val="single" w:color="D6DDD8" w:sz="4"/>
              <w:bottom w:val="single" w:color="D6DDD8" w:sz="4"/>
              <w:right w:val="single" w:color="D6DDD8" w:sz="4"/>
            </w:tcBorders>
            <w:tcMar>
              <w:top w:type="dxa" w:w="25"/>
              <w:left w:type="dxa" w:w="80"/>
              <w:bottom w:type="dxa" w:w="25"/>
              <w:right w:type="dxa" w:w="80"/>
            </w:tcMar>
          </w:tcPr>
          <w:p>
            <w:pPr>
              <w:spacing w:line="235"/>
            </w:pPr>
            <w:r>
              <w:rPr>
                <w:rFonts w:ascii="Calibri" w:cs="Calibri" w:eastAsia="Calibri" w:hAnsi="Calibri"/>
                <w:color w:val="1C2433"/>
                <w:sz w:val="17"/>
                <w:szCs w:val="17"/>
              </w:rPr>
              <w:t xml:space="preserve">Node.js and Express in TypeScript. Services for reading, segmentation, rules, loan terms, explanations and storage; one API serves upload, analysis, file viewing, chat, compare and dashboard.</w:t>
            </w:r>
          </w:p>
        </w:tc>
      </w:tr>
      <w:tr>
        <w:tc>
          <w:tcPr>
            <w:tcW w:type="dxa" w:w="1500"/>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b/>
                <w:bCs/>
                <w:color w:val="1C2433"/>
                <w:sz w:val="17"/>
                <w:szCs w:val="17"/>
              </w:rPr>
              <w:t xml:space="preserve">9. Frontend</w:t>
            </w:r>
          </w:p>
        </w:tc>
        <w:tc>
          <w:tcPr>
            <w:tcW w:type="dxa" w:w="8966"/>
            <w:tcBorders>
              <w:top w:val="single" w:color="D6DDD8" w:sz="4"/>
              <w:left w:val="single" w:color="D6DDD8" w:sz="4"/>
              <w:bottom w:val="single" w:color="D6DDD8" w:sz="4"/>
              <w:right w:val="single" w:color="D6DDD8" w:sz="4"/>
            </w:tcBorders>
            <w:shd w:fill="EAF7F0" w:color="auto" w:val="clear"/>
            <w:tcMar>
              <w:top w:type="dxa" w:w="25"/>
              <w:left w:type="dxa" w:w="80"/>
              <w:bottom w:type="dxa" w:w="25"/>
              <w:right w:type="dxa" w:w="80"/>
            </w:tcMar>
          </w:tcPr>
          <w:p>
            <w:pPr>
              <w:spacing w:line="235"/>
            </w:pPr>
            <w:r>
              <w:rPr>
                <w:rFonts w:ascii="Calibri" w:cs="Calibri" w:eastAsia="Calibri" w:hAnsi="Calibri"/>
                <w:color w:val="1C2433"/>
                <w:sz w:val="17"/>
                <w:szCs w:val="17"/>
              </w:rPr>
              <w:t xml:space="preserve">Next.js and React with Tailwind. The PDF or photo is shown with a colored rectangle over each risky line; clicking one opens its explanation. Also: cost calculator, action center, chat, dashboard, light/dark themes and a Hindi interface.</w:t>
            </w:r>
          </w:p>
        </w:tc>
      </w:tr>
    </w:tbl>
    <w:p>
      <w:pPr>
        <w:pBdr>
          <w:bottom w:val="single" w:color="047857" w:sz="6" w:space="1"/>
        </w:pBdr>
        <w:spacing w:after="50" w:before="120"/>
      </w:pPr>
      <w:r>
        <w:rPr>
          <w:rFonts w:ascii="Calibri" w:cs="Calibri" w:eastAsia="Calibri" w:hAnsi="Calibri"/>
          <w:b/>
          <w:bCs/>
          <w:color w:val="1C2433"/>
          <w:sz w:val="21"/>
          <w:szCs w:val="21"/>
        </w:rPr>
        <w:t xml:space="preserve">How to sell it</w:t>
      </w:r>
    </w:p>
    <w:p>
      <w:pPr>
        <w:spacing w:after="50"/>
      </w:pPr>
      <w:r>
        <w:rPr>
          <w:rFonts w:ascii="Calibri" w:cs="Calibri" w:eastAsia="Calibri" w:hAnsi="Calibri"/>
          <w:b/>
          <w:bCs/>
          <w:color w:val="1C2433"/>
          <w:sz w:val="17"/>
          <w:szCs w:val="17"/>
        </w:rPr>
        <w:t xml:space="preserve">Pitch: </w:t>
      </w:r>
      <w:r>
        <w:rPr>
          <w:rFonts w:ascii="Calibri" w:cs="Calibri" w:eastAsia="Calibri" w:hAnsi="Calibri"/>
          <w:i/>
          <w:iCs/>
          <w:color w:val="1C2433"/>
          <w:sz w:val="17"/>
          <w:szCs w:val="17"/>
        </w:rPr>
        <w:t xml:space="preserve">"Know what you're signing before you sign it. Upload a loan agreement or a photo of it and see the hidden fees, unfair terms and real cost in a minute, in English or Hindi."</w:t>
      </w:r>
    </w:p>
    <w:p>
      <w:pPr>
        <w:pStyle w:val="ListParagraph"/>
        <w:numPr>
          <w:ilvl w:val="0"/>
          <w:numId w:val="2"/>
        </w:numPr>
        <w:spacing w:after="20" w:line="240"/>
      </w:pPr>
      <w:r>
        <w:rPr>
          <w:rFonts w:ascii="Calibri" w:cs="Calibri" w:eastAsia="Calibri" w:hAnsi="Calibri"/>
          <w:b/>
          <w:bCs/>
          <w:color w:val="1C2433"/>
          <w:sz w:val="17"/>
          <w:szCs w:val="17"/>
        </w:rPr>
        <w:t xml:space="preserve">Free for individuals (the hook): </w:t>
      </w:r>
      <w:r>
        <w:rPr>
          <w:rFonts w:ascii="Calibri" w:cs="Calibri" w:eastAsia="Calibri" w:hAnsi="Calibri"/>
          <w:color w:val="1C2433"/>
          <w:sz w:val="17"/>
          <w:szCs w:val="17"/>
        </w:rPr>
        <w:t xml:space="preserve">a free basic check builds trust and word of mouth. Charge a small fee for extras, such as a detailed downloadable report, comparing loan offers, or a human expert review of a high-risk agreement.</w:t>
      </w:r>
    </w:p>
    <w:p>
      <w:pPr>
        <w:pStyle w:val="ListParagraph"/>
        <w:numPr>
          <w:ilvl w:val="0"/>
          <w:numId w:val="2"/>
        </w:numPr>
        <w:spacing w:after="20" w:line="240"/>
      </w:pPr>
      <w:r>
        <w:rPr>
          <w:rFonts w:ascii="Calibri" w:cs="Calibri" w:eastAsia="Calibri" w:hAnsi="Calibri"/>
          <w:b/>
          <w:bCs/>
          <w:color w:val="1C2433"/>
          <w:sz w:val="17"/>
          <w:szCs w:val="17"/>
        </w:rPr>
        <w:t xml:space="preserve">Colleges (education loans): </w:t>
      </w:r>
      <w:r>
        <w:rPr>
          <w:rFonts w:ascii="Calibri" w:cs="Calibri" w:eastAsia="Calibri" w:hAnsi="Calibri"/>
          <w:color w:val="1C2433"/>
          <w:sz w:val="17"/>
          <w:szCs w:val="17"/>
        </w:rPr>
        <w:t xml:space="preserve">offer it to finance or placement cells so students check loans before signing. Sell a campus license per year; start with one free pilot for a testimonial.</w:t>
      </w:r>
    </w:p>
    <w:p>
      <w:pPr>
        <w:pStyle w:val="ListParagraph"/>
        <w:numPr>
          <w:ilvl w:val="0"/>
          <w:numId w:val="2"/>
        </w:numPr>
        <w:spacing w:after="20" w:line="240"/>
      </w:pPr>
      <w:r>
        <w:rPr>
          <w:rFonts w:ascii="Calibri" w:cs="Calibri" w:eastAsia="Calibri" w:hAnsi="Calibri"/>
          <w:b/>
          <w:bCs/>
          <w:color w:val="1C2433"/>
          <w:sz w:val="17"/>
          <w:szCs w:val="17"/>
        </w:rPr>
        <w:t xml:space="preserve">NGOs, legal aid and microfinance groups: </w:t>
      </w:r>
      <w:r>
        <w:rPr>
          <w:rFonts w:ascii="Calibri" w:cs="Calibri" w:eastAsia="Calibri" w:hAnsi="Calibri"/>
          <w:color w:val="1C2433"/>
          <w:sz w:val="17"/>
          <w:szCs w:val="17"/>
        </w:rPr>
        <w:t xml:space="preserve">a team dashboard to screen agreements for the communities they serve. Fund it through CSR budgets and grants; social-impact numbers (fees caught, bad loans avoided) make the case.</w:t>
      </w:r>
    </w:p>
    <w:p>
      <w:pPr>
        <w:pStyle w:val="ListParagraph"/>
        <w:numPr>
          <w:ilvl w:val="0"/>
          <w:numId w:val="2"/>
        </w:numPr>
        <w:spacing w:after="20" w:line="240"/>
      </w:pPr>
      <w:r>
        <w:rPr>
          <w:rFonts w:ascii="Calibri" w:cs="Calibri" w:eastAsia="Calibri" w:hAnsi="Calibri"/>
          <w:b/>
          <w:bCs/>
          <w:color w:val="1C2433"/>
          <w:sz w:val="17"/>
          <w:szCs w:val="17"/>
        </w:rPr>
        <w:t xml:space="preserve">Fair lenders and fintechs: </w:t>
      </w:r>
      <w:r>
        <w:rPr>
          <w:rFonts w:ascii="Calibri" w:cs="Calibri" w:eastAsia="Calibri" w:hAnsi="Calibri"/>
          <w:color w:val="1C2433"/>
          <w:sz w:val="17"/>
          <w:szCs w:val="17"/>
        </w:rPr>
        <w:t xml:space="preserve">a compliance check of their own agreements before customers see them, plus a "Checked for fairness" badge that helps honest lenders stand out. Charge per document through an API or a monthly plan.</w:t>
      </w:r>
    </w:p>
    <w:p>
      <w:pPr>
        <w:pStyle w:val="ListParagraph"/>
        <w:numPr>
          <w:ilvl w:val="0"/>
          <w:numId w:val="2"/>
        </w:numPr>
        <w:spacing w:after="20" w:line="240"/>
      </w:pPr>
      <w:r>
        <w:rPr>
          <w:rFonts w:ascii="Calibri" w:cs="Calibri" w:eastAsia="Calibri" w:hAnsi="Calibri"/>
          <w:b/>
          <w:bCs/>
          <w:color w:val="1C2433"/>
          <w:sz w:val="17"/>
          <w:szCs w:val="17"/>
        </w:rPr>
        <w:t xml:space="preserve">Employers and advisors: </w:t>
      </w:r>
      <w:r>
        <w:rPr>
          <w:rFonts w:ascii="Calibri" w:cs="Calibri" w:eastAsia="Calibri" w:hAnsi="Calibri"/>
          <w:color w:val="1C2433"/>
          <w:sz w:val="17"/>
          <w:szCs w:val="17"/>
        </w:rPr>
        <w:t xml:space="preserve">a financial-wellness benefit for staff, and a white-label tool for loan advisors and chartered accountants reviewing agreements for clients.</w:t>
      </w:r>
    </w:p>
    <w:p>
      <w:pPr>
        <w:pStyle w:val="ListParagraph"/>
        <w:numPr>
          <w:ilvl w:val="0"/>
          <w:numId w:val="2"/>
        </w:numPr>
        <w:spacing w:after="20" w:line="240"/>
      </w:pPr>
      <w:r>
        <w:rPr>
          <w:rFonts w:ascii="Calibri" w:cs="Calibri" w:eastAsia="Calibri" w:hAnsi="Calibri"/>
          <w:b/>
          <w:bCs/>
          <w:color w:val="1C2433"/>
          <w:sz w:val="17"/>
          <w:szCs w:val="17"/>
        </w:rPr>
        <w:t xml:space="preserve">Getting the first users: </w:t>
      </w:r>
      <w:r>
        <w:rPr>
          <w:rFonts w:ascii="Calibri" w:cs="Calibri" w:eastAsia="Calibri" w:hAnsi="Calibri"/>
          <w:color w:val="1C2433"/>
          <w:sz w:val="17"/>
          <w:szCs w:val="17"/>
        </w:rPr>
        <w:t xml:space="preserve">demo the "24% loan that really costs 42.8%" example; short videos with personal-finance creators; articles answering searches like "is this loan app safe"; a WhatsApp version where people forward a photo; hackathons and startup programs.</w:t>
      </w:r>
    </w:p>
    <w:p>
      <w:pPr>
        <w:pStyle w:val="ListParagraph"/>
        <w:numPr>
          <w:ilvl w:val="0"/>
          <w:numId w:val="2"/>
        </w:numPr>
        <w:spacing w:after="20" w:line="240"/>
      </w:pPr>
      <w:r>
        <w:rPr>
          <w:rFonts w:ascii="Calibri" w:cs="Calibri" w:eastAsia="Calibri" w:hAnsi="Calibri"/>
          <w:b/>
          <w:bCs/>
          <w:color w:val="1C2433"/>
          <w:sz w:val="17"/>
          <w:szCs w:val="17"/>
        </w:rPr>
        <w:t xml:space="preserve">Proof that sells: </w:t>
      </w:r>
      <w:r>
        <w:rPr>
          <w:rFonts w:ascii="Calibri" w:cs="Calibri" w:eastAsia="Calibri" w:hAnsi="Calibri"/>
          <w:color w:val="1C2433"/>
          <w:sz w:val="17"/>
          <w:szCs w:val="17"/>
        </w:rPr>
        <w:t xml:space="preserve">track and publish results: documents checked, hidden fees found, rupees saved. Real numbers and user stories convince colleges, NGOs and investors more than features do.</w:t>
      </w:r>
    </w:p>
    <w:p>
      <w:pPr>
        <w:spacing w:before="80"/>
        <w:jc w:val="center"/>
      </w:pPr>
      <w:r>
        <w:rPr>
          <w:rFonts w:ascii="Calibri" w:cs="Calibri" w:eastAsia="Calibri" w:hAnsi="Calibri"/>
          <w:i/>
          <w:iCs/>
          <w:color w:val="5C6370"/>
          <w:sz w:val="15"/>
          <w:szCs w:val="15"/>
        </w:rPr>
        <w:t xml:space="preserve">Automated guidance, not legal advice. Prices and channels are suggestions to test with real users.</w:t>
      </w:r>
    </w:p>
    <w:sectPr>
      <w:pgSz w:w="11906" w:h="16838" w:orient="portrait"/>
      <w:pgMar w:top="60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2026-09-28T08:11:05.614Z</dcterms:created>
  <dcterms:modified xsi:type="dcterms:W3CDTF">2026-09-28T08:11:05.614Z</dcterms:modified>
</cp:coreProperties>
</file>

<file path=docProps/custom.xml><?xml version="1.0" encoding="utf-8"?>
<Properties xmlns="http://schemas.openxmlformats.org/officeDocument/2006/custom-properties" xmlns:vt="http://schemas.openxmlformats.org/officeDocument/2006/docPropsVTypes"/>
</file>