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97D"/>
          <w:sz w:val="32"/>
        </w:rPr>
        <w:t>Literature Review: AI-Driven Stock Market Prediction</w:t>
      </w:r>
    </w:p>
    <w:p>
      <w:pPr>
        <w:spacing w:after="280"/>
        <w:jc w:val="center"/>
      </w:pPr>
      <w:r>
        <w:rPr>
          <w:rFonts w:ascii="Arial" w:hAnsi="Arial"/>
          <w:i/>
          <w:color w:val="404040"/>
          <w:sz w:val="22"/>
        </w:rPr>
        <w:t>Approaches, Models, Tools, and a Novel Entropy-Gated Adaptive Forecasting System</w:t>
      </w:r>
    </w:p>
    <w:p>
      <w:pPr>
        <w:pStyle w:val="Heading1"/>
        <w:spacing w:before="200" w:after="80"/>
      </w:pPr>
      <w:r>
        <w:t>1. Literature Review</w:t>
      </w:r>
    </w:p>
    <w:p>
      <w:pPr>
        <w:spacing w:before="0" w:after="120"/>
        <w:jc w:val="both"/>
      </w:pPr>
      <w:r>
        <w:rPr>
          <w:b w:val="0"/>
          <w:i w:val="0"/>
          <w:sz w:val="22"/>
        </w:rPr>
        <w:t>Research on AI-driven stock market prediction has converged on three broad approaches: sentiment-augmented forecasting, dynamic and adaptive modeling, and robustness benchmarking. The seven papers reviewed reflect this landscape and collectively expose a shared architectural gap that directly motivates the proposed system.</w:t>
      </w:r>
    </w:p>
    <w:p>
      <w:pPr>
        <w:spacing w:after="20" w:before="80"/>
      </w:pPr>
      <w:r>
        <w:rPr>
          <w:b/>
          <w:color w:val="2E74B5"/>
          <w:sz w:val="21"/>
        </w:rPr>
        <w:t>Sentiment-Augmented Hybrid Forecasting</w:t>
      </w:r>
    </w:p>
    <w:p>
      <w:pPr>
        <w:spacing w:before="0" w:after="120"/>
        <w:jc w:val="both"/>
      </w:pPr>
      <w:r>
        <w:rPr>
          <w:b w:val="0"/>
          <w:i w:val="0"/>
          <w:sz w:val="22"/>
        </w:rPr>
        <w:t>The most active research direction combines LLM-derived sentiment with technical indicators and macroeconomic variables to produce hybrid forecasting systems that outperform either input stream in isolation. Paper 1 provides the most comprehensive evaluation of this paradigm. The study assessed six sentiment models including GPT-4, Llama 3, Gemma 2, Mistral 7B, FinBERT, and VADER, integrating their outputs with technical indicators (SMA, RSI, OBV, ADX) and macroeconomic variables including gold prices and exchange rates. GPT-4 achieved the highest sentiment classification accuracy due to its advanced contextual reasoning, while Llama 3 was selected for the final forecasting pipeline because it generalized more consistently across datasets. Lexicon-based tools such as VADER underperformed because they lacked the financial domain knowledge needed to interpret ambiguous market language. Among forecasting architectures, the Informer model outperformed LSTM, TCN, SVR, and Random Forest baselines. The Informer architecture is particularly suited to financial forecasting due to its ProbSparse Attention mechanism, which reduces the quadratic complexity of standard self-attention, its Self-Attention Distilling module, which eliminates redundant attention scores across layers, and its Generative Style Decoder, which enables efficient multi-step prediction without accumulating error across sequential steps. Despite strong performance, the study identified key limitations including high computational cost, reduced accuracy when using automated sentiment labels rather than manually annotated ones, and an inability to process full article content rather than only headlines.</w:t>
      </w:r>
    </w:p>
    <w:p>
      <w:pPr>
        <w:spacing w:before="0" w:after="120"/>
        <w:jc w:val="both"/>
      </w:pPr>
      <w:r>
        <w:rPr>
          <w:b w:val="0"/>
          <w:i w:val="0"/>
          <w:sz w:val="22"/>
        </w:rPr>
        <w:t>Paper 2 extended this approach into an automated trading context. A GPT-3 model was fine-tuned on financial datasets and applied to sentiment data collected from Reuters, CNBC, Twitter, and Reddit. The resulting sentiment scores were integrated as features into Random Forest, SVM, Gradient Boosting, and LSTM models. Reinforcement learning was also introduced to optimize buy, sell, and hold decisions dynamically based on predicted market conditions. The hybrid system achieved 77.4% prediction accuracy, a cumulative return of 17.2%, and the highest Sharpe ratio among all tested configurations. Random Forest performed best among individual ML models. The study confirmed that hybrid systems consistently outperform single-input models, but also identified persistent limitations: difficulties interpreting sarcasm, conflicting investor opinions, and ambiguous financial language, as well as the broader observation that sentiment signals alone cannot account for market movements driven by macroeconomic policy or geopolitical events. Both Papers 1 and 2 share a critical architectural assumption that goes unquestioned: the weighting between sentiment and technical inputs is fixed and does not adapt to current market conditions. This is a significant limitation when news volume and informativeness vary dramatically across market regimes.</w:t>
      </w:r>
    </w:p>
    <w:p>
      <w:pPr>
        <w:spacing w:before="0" w:after="160"/>
        <w:jc w:val="both"/>
      </w:pPr>
      <w:r>
        <w:rPr>
          <w:b w:val="0"/>
          <w:i w:val="0"/>
          <w:sz w:val="22"/>
        </w:rPr>
        <w:t>Paper 3 explored a fundamentally different modelling direction by introducing hybrid classical-quantum neural networks for stock prediction. The study compared Quantum Neural Networks (QNNs), Variational Quantum Circuits (VQCs), and Parameterized Quantum Circuits (PQCs) against classical deep learning models including LSTM and BiLSTM. Three architectures were proposed: CustomQNN, HybridQNN1, and HybridQNN2. HybridQNN2 achieved the best quantum-enhanced performance by jointly optimizing classical LSTM layers and quantum circuits through backpropagation using the ADAM optimizer. However, the central finding was that classical LSTM and BiLSTM still outperformed all quantum models while requiring a fraction of the computational resources. Limitations of the quantum models included noisy qubits, shallow circuit depth, prohibitive computational cost, and poor adaptability during sudden market crashes. This result confirms that architectural novelty alone does not guarantee predictive improvement, and that computational feasibility must be balanced against performance gains when designing practical forecasting systems.</w:t>
      </w:r>
    </w:p>
    <w:p>
      <w:pPr>
        <w:spacing w:after="20" w:before="80"/>
      </w:pPr>
      <w:r>
        <w:rPr>
          <w:b/>
          <w:color w:val="2E74B5"/>
          <w:sz w:val="21"/>
        </w:rPr>
        <w:t>Dynamic and Adaptive Modeling</w:t>
      </w:r>
    </w:p>
    <w:p>
      <w:pPr>
        <w:spacing w:before="0" w:after="120"/>
        <w:jc w:val="both"/>
      </w:pPr>
      <w:r>
        <w:rPr>
          <w:b w:val="0"/>
          <w:i w:val="0"/>
          <w:sz w:val="22"/>
        </w:rPr>
        <w:t>Papers 4 and 5 extend the hybrid forecasting paradigm by introducing dynamic components that adapt over time, representing the closest existing work to the proposed system. Paper 4 introduced ALERA, a multi-agent LLM trading framework that coordinates four specialized agents including a Fundamental Analyst, Momentum Analyst, Sentiment Analyst, and Technical Analyst. These agents generate competing analyses that are then debated by Bull and Bear Researcher Agents before a Research Manager Agent synthesizes a final trading decision. The key innovation is an entropy-based Risk Quantification Layer that computes four distinct entropy measures including News Sentiment Entropy, Historical Experience Entropy, Market Trend Entropy, and Correlation Entropy, and uses these to dynamically adjust position sizing based on current market uncertainty. ALERA achieved annualized returns of 26.32% and a Sharpe Ratio of 1.71, substantially outperforming traditional trading strategies. The critical limitation for the purposes of the proposed work is that entropy in ALERA governs risk management and position sizing after the forecasting decision is made. It does not alter the weighting of feature inputs inside the forecasting model itself. The adaptation occurs at the trading layer, not at the prediction layer.</w:t>
      </w:r>
    </w:p>
    <w:p>
      <w:pPr>
        <w:spacing w:before="0" w:after="160"/>
        <w:jc w:val="both"/>
      </w:pPr>
      <w:r>
        <w:rPr>
          <w:b w:val="0"/>
          <w:i w:val="0"/>
          <w:sz w:val="22"/>
        </w:rPr>
        <w:t>Paper 5 proposed HD-SURDLM, combining LLM-based sentiment analysis with Dynamic Linear Models and stabilized Gibbs Sampling to model time-varying relationships between sentiment signals, technical indicators, and cross-stock correlations. The system integrated sentiment from Twitter and Reuters with stock data from Yahoo Finance and modeled multiple stocks simultaneously, capturing inter-stock dependency dynamics. RoBERTa was selected as the sentiment model because it handled noisy social media and news data more robustly than alternatives. HD-SURDLM-2 significantly outperformed LSTM, RNN, Random Forest, SVR, and traditional static SUR-DLM models across all evaluation metrics. The adaptation mechanism in HD-SURDLM is temporally driven: coefficients are updated continuously as time passes. This is fundamentally different from the proposed approach, which uses a measurable property of the current information environment, specifically Shannon entropy of daily sentiment distributions, as a conditional trigger for feature reweighting. HD-SURDLM does not detect discrete regime states, cannot respond to sudden news-driven regime shifts, and is not differentiable with respect to the gating decision. Key limitations include high computational cost from Gibbs Sampling and poor performance during major macroeconomic events precisely because the model cannot detect or respond to regime transitions.</w:t>
      </w:r>
    </w:p>
    <w:p>
      <w:pPr>
        <w:spacing w:after="20" w:before="80"/>
      </w:pPr>
      <w:r>
        <w:rPr>
          <w:b/>
          <w:color w:val="2E74B5"/>
          <w:sz w:val="21"/>
        </w:rPr>
        <w:t>Robustness and Regime Generalization</w:t>
      </w:r>
    </w:p>
    <w:p>
      <w:pPr>
        <w:spacing w:before="0" w:after="120"/>
        <w:jc w:val="both"/>
      </w:pPr>
      <w:r>
        <w:rPr>
          <w:b w:val="0"/>
          <w:i w:val="0"/>
          <w:sz w:val="22"/>
        </w:rPr>
        <w:t>Papers 6 and 7 shift focus from prediction accuracy to generalization, and together establish that distributional shift and regime transitions are the primary unsolved challenges in practical stock price forecasting. Wang and Lera (2025) identified a critical failure mode in standard supervised deep learning: models trained on historical market data experience severe performance degradation when markets transition between regimes such as from bull to bear conditions, from low to high interest rate environments, or from stable to crisis states. These models learn fixed statistical relationships that no longer hold when the underlying data-generating process changes. To address this, the authors proposed FinPFN, a Transformer-based meta-learning architecture that treats the historical training dataset as a conditional prior rather than a fixed source of labeled examples. FinPFN learns how to learn from distributional patterns across many market environments, enabling rapid recalibration to new regimes without full retraining. The model demonstrated substantial outperformance over standard deep learning models specifically during regime transition periods. Key limitations include high computational complexity and the challenge of defining market regimes without relying on hindsight.</w:t>
      </w:r>
    </w:p>
    <w:p>
      <w:pPr>
        <w:spacing w:before="0" w:after="160"/>
        <w:jc w:val="both"/>
      </w:pPr>
      <w:r>
        <w:rPr>
          <w:b w:val="0"/>
          <w:i w:val="0"/>
          <w:sz w:val="22"/>
        </w:rPr>
        <w:t>Prata et al. (2024) approached the generalization problem empirically through a large-scale benchmark study. The study evaluated fifteen state-of-the-art deep learning architectures for stock price trend prediction using Limit Order Book (LOB) data, which captures the real-time queue of all pending buy and sell orders at each price level and therefore contains richer microstructure information than closing price series alone. The benchmark introduced LOBCAST, an open-source Python framework for standardized LOB-based evaluation. Despite strong in-sample performance across all fifteen models, the central finding was that every single model exhibited significant and consistent performance degradation when evaluated on out-of-sample stocks, time periods, or market conditions. This systemic overfitting to training distributions challenges the validity of accuracy claims made in much of the prior LOB prediction literature. The authors concluded that robustness to distributional shift, rather than in-sample accuracy, is the correct optimization target for practical forecasting systems.</w:t>
      </w:r>
    </w:p>
    <w:p>
      <w:pPr>
        <w:spacing w:after="20" w:before="80"/>
      </w:pPr>
      <w:r>
        <w:rPr>
          <w:b/>
          <w:color w:val="2E74B5"/>
          <w:sz w:val="21"/>
        </w:rPr>
        <w:t>Summary of Gaps Across the Literature</w:t>
      </w:r>
    </w:p>
    <w:p>
      <w:pPr>
        <w:spacing w:before="0" w:after="200"/>
        <w:jc w:val="both"/>
      </w:pPr>
      <w:r>
        <w:rPr>
          <w:b w:val="0"/>
          <w:i w:val="0"/>
          <w:sz w:val="22"/>
        </w:rPr>
        <w:t>The reviewed papers collectively expose four limitations that remain unresolved across all seven works: (1) all hybrid systems apply fixed weights between sentiment and technical inputs, treating both feature types as equally important at all times regardless of market conditions; (2) entropy has been used only for risk management and position sizing, and has never been applied as a structural gate inside a forecasting model to control feature contribution; (3) performance consistently degrades during regime transitions, market crashes, and macroeconomic shocks, confirming that static models cannot generalize across changing market environments; and (4) no system provides uncertainty quantification attached to its price predictions. These four gaps directly motivate the entropy-gated adaptive forecasting system proposed in this work.</w:t>
      </w:r>
    </w:p>
    <w:p>
      <w:pPr>
        <w:pStyle w:val="Heading1"/>
        <w:spacing w:before="200" w:after="80"/>
      </w:pPr>
      <w:r>
        <w:t>2. Component Selection Summary</w:t>
      </w:r>
    </w:p>
    <w:p>
      <w:pPr>
        <w:spacing w:before="0" w:after="120"/>
        <w:jc w:val="both"/>
      </w:pPr>
      <w:r>
        <w:rPr>
          <w:b w:val="0"/>
          <w:i w:val="0"/>
          <w:sz w:val="22"/>
        </w:rPr>
        <w:t>The table below summarizes the key technology choices made for each component of the proposed system, with brief justification drawn from the literature review above.</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1F497D"/>
            <w:vAlign w:val="center"/>
          </w:tcPr>
          <w:p>
            <w:pPr>
              <w:jc w:val="center"/>
            </w:pPr>
            <w:r>
              <w:rPr>
                <w:b/>
                <w:color w:val="FFFFFF"/>
                <w:sz w:val="18"/>
              </w:rPr>
              <w:t>Component</w:t>
            </w:r>
          </w:p>
        </w:tc>
        <w:tc>
          <w:tcPr>
            <w:tcW w:type="dxa" w:w="2880"/>
            <w:shd w:val="clear" w:color="auto" w:fill="1F497D"/>
            <w:vAlign w:val="center"/>
          </w:tcPr>
          <w:p>
            <w:pPr>
              <w:jc w:val="center"/>
            </w:pPr>
            <w:r>
              <w:rPr>
                <w:b/>
                <w:color w:val="FFFFFF"/>
                <w:sz w:val="18"/>
              </w:rPr>
              <w:t>Selected Tool / Approach</w:t>
            </w:r>
          </w:p>
        </w:tc>
        <w:tc>
          <w:tcPr>
            <w:tcW w:type="dxa" w:w="5328"/>
            <w:shd w:val="clear" w:color="auto" w:fill="1F497D"/>
            <w:vAlign w:val="center"/>
          </w:tcPr>
          <w:p>
            <w:pPr>
              <w:jc w:val="center"/>
            </w:pPr>
            <w:r>
              <w:rPr>
                <w:b/>
                <w:color w:val="FFFFFF"/>
                <w:sz w:val="18"/>
              </w:rPr>
              <w:t>Justification</w:t>
            </w:r>
          </w:p>
        </w:tc>
      </w:tr>
      <w:tr>
        <w:tc>
          <w:tcPr>
            <w:tcW w:type="dxa" w:w="2304"/>
            <w:shd w:val="clear" w:color="auto" w:fill="EBF3FB"/>
            <w:vAlign w:val="top"/>
          </w:tcPr>
          <w:p>
            <w:r>
              <w:rPr>
                <w:b/>
                <w:sz w:val="18"/>
              </w:rPr>
              <w:t>Sentiment Analysis</w:t>
            </w:r>
          </w:p>
        </w:tc>
        <w:tc>
          <w:tcPr>
            <w:tcW w:type="dxa" w:w="2880"/>
            <w:shd w:val="clear" w:color="auto" w:fill="EBF3FB"/>
            <w:vAlign w:val="top"/>
          </w:tcPr>
          <w:p>
            <w:r>
              <w:rPr>
                <w:b w:val="0"/>
                <w:sz w:val="18"/>
              </w:rPr>
              <w:t>FinBERT (ProsusAI/finbert)</w:t>
            </w:r>
          </w:p>
        </w:tc>
        <w:tc>
          <w:tcPr>
            <w:tcW w:type="dxa" w:w="5328"/>
            <w:shd w:val="clear" w:color="auto" w:fill="EBF3FB"/>
            <w:vAlign w:val="top"/>
          </w:tcPr>
          <w:p>
            <w:r>
              <w:rPr>
                <w:b w:val="0"/>
                <w:sz w:val="18"/>
              </w:rPr>
              <w:t>Finance-specific pre-training; produces 3-class probability output (positive, negative, neutral) required to compute Shannon entropy H_t. GPT-4 achieves higher accuracy but is cost-prohibitive for daily inference at scale.</w:t>
            </w:r>
          </w:p>
        </w:tc>
      </w:tr>
      <w:tr>
        <w:tc>
          <w:tcPr>
            <w:tcW w:type="dxa" w:w="2304"/>
            <w:vAlign w:val="top"/>
          </w:tcPr>
          <w:p>
            <w:r>
              <w:rPr>
                <w:b/>
                <w:sz w:val="18"/>
              </w:rPr>
              <w:t>Forecasting Model</w:t>
            </w:r>
          </w:p>
        </w:tc>
        <w:tc>
          <w:tcPr>
            <w:tcW w:type="dxa" w:w="2880"/>
            <w:vAlign w:val="top"/>
          </w:tcPr>
          <w:p>
            <w:r>
              <w:rPr>
                <w:b w:val="0"/>
                <w:sz w:val="18"/>
              </w:rPr>
              <w:t>Informer</w:t>
            </w:r>
          </w:p>
        </w:tc>
        <w:tc>
          <w:tcPr>
            <w:tcW w:type="dxa" w:w="5328"/>
            <w:vAlign w:val="top"/>
          </w:tcPr>
          <w:p>
            <w:r>
              <w:rPr>
                <w:b w:val="0"/>
                <w:sz w:val="18"/>
              </w:rPr>
              <w:t>Best multi-step forecasting performance in Paper 1. ProbSparse Attention reduces complexity; Generative Style Decoder avoids step-wise error accumulation. LSTM retained as baseline.</w:t>
            </w:r>
          </w:p>
        </w:tc>
      </w:tr>
      <w:tr>
        <w:tc>
          <w:tcPr>
            <w:tcW w:type="dxa" w:w="2304"/>
            <w:shd w:val="clear" w:color="auto" w:fill="EBF3FB"/>
            <w:vAlign w:val="top"/>
          </w:tcPr>
          <w:p>
            <w:r>
              <w:rPr>
                <w:b/>
                <w:sz w:val="18"/>
              </w:rPr>
              <w:t>Technical Indicators</w:t>
            </w:r>
          </w:p>
        </w:tc>
        <w:tc>
          <w:tcPr>
            <w:tcW w:type="dxa" w:w="2880"/>
            <w:shd w:val="clear" w:color="auto" w:fill="EBF3FB"/>
            <w:vAlign w:val="top"/>
          </w:tcPr>
          <w:p>
            <w:r>
              <w:rPr>
                <w:b w:val="0"/>
                <w:sz w:val="18"/>
              </w:rPr>
              <w:t>Pandas TA (RSI, MACD, SMA 20/50, OBV, ADX)</w:t>
            </w:r>
          </w:p>
        </w:tc>
        <w:tc>
          <w:tcPr>
            <w:tcW w:type="dxa" w:w="5328"/>
            <w:shd w:val="clear" w:color="auto" w:fill="EBF3FB"/>
            <w:vAlign w:val="top"/>
          </w:tcPr>
          <w:p>
            <w:r>
              <w:rPr>
                <w:b w:val="0"/>
                <w:sz w:val="18"/>
              </w:rPr>
              <w:t>Lightweight, Python-native library covering all indicators used across the reviewed papers. Integrates directly into the preprocessing pipeline.</w:t>
            </w:r>
          </w:p>
        </w:tc>
      </w:tr>
      <w:tr>
        <w:tc>
          <w:tcPr>
            <w:tcW w:type="dxa" w:w="2304"/>
            <w:vAlign w:val="top"/>
          </w:tcPr>
          <w:p>
            <w:r>
              <w:rPr>
                <w:b/>
                <w:sz w:val="18"/>
              </w:rPr>
              <w:t>Adaptive Gating</w:t>
            </w:r>
          </w:p>
        </w:tc>
        <w:tc>
          <w:tcPr>
            <w:tcW w:type="dxa" w:w="2880"/>
            <w:vAlign w:val="top"/>
          </w:tcPr>
          <w:p>
            <w:r>
              <w:rPr>
                <w:b w:val="0"/>
                <w:sz w:val="18"/>
              </w:rPr>
              <w:t>Entropy Gate (PyTorch, learnable w and b)</w:t>
            </w:r>
          </w:p>
        </w:tc>
        <w:tc>
          <w:tcPr>
            <w:tcW w:type="dxa" w:w="5328"/>
            <w:vAlign w:val="top"/>
          </w:tcPr>
          <w:p>
            <w:r>
              <w:rPr>
                <w:b w:val="0"/>
                <w:sz w:val="18"/>
              </w:rPr>
              <w:t>Extends dynamic modeling concepts from HD-SURDLM and ALERA. Unlike those systems, gates feature contributions at the input level using entropy as a real-time conditional signal, not a temporal drift or position-sizing rule.</w:t>
            </w:r>
          </w:p>
        </w:tc>
      </w:tr>
      <w:tr>
        <w:tc>
          <w:tcPr>
            <w:tcW w:type="dxa" w:w="2304"/>
            <w:shd w:val="clear" w:color="auto" w:fill="EBF3FB"/>
            <w:vAlign w:val="top"/>
          </w:tcPr>
          <w:p>
            <w:r>
              <w:rPr>
                <w:b/>
                <w:sz w:val="18"/>
              </w:rPr>
              <w:t>Data Sources</w:t>
            </w:r>
          </w:p>
        </w:tc>
        <w:tc>
          <w:tcPr>
            <w:tcW w:type="dxa" w:w="2880"/>
            <w:shd w:val="clear" w:color="auto" w:fill="EBF3FB"/>
            <w:vAlign w:val="top"/>
          </w:tcPr>
          <w:p>
            <w:r>
              <w:rPr>
                <w:b w:val="0"/>
                <w:sz w:val="18"/>
              </w:rPr>
              <w:t>yfinance (price), NewsAPI / RSS (headlines)</w:t>
            </w:r>
          </w:p>
        </w:tc>
        <w:tc>
          <w:tcPr>
            <w:tcW w:type="dxa" w:w="5328"/>
            <w:shd w:val="clear" w:color="auto" w:fill="EBF3FB"/>
            <w:vAlign w:val="top"/>
          </w:tcPr>
          <w:p>
            <w:r>
              <w:rPr>
                <w:b w:val="0"/>
                <w:sz w:val="18"/>
              </w:rPr>
              <w:t>Free, programmatic access to historical OHLCV data and financial news for any publicly listed ticker.</w:t>
            </w:r>
          </w:p>
        </w:tc>
      </w:tr>
    </w:tbl>
    <w:p/>
    <w:p>
      <w:pPr>
        <w:pStyle w:val="Heading1"/>
        <w:spacing w:before="200" w:after="80"/>
      </w:pPr>
      <w:r>
        <w:t>3. Proposed System: Entropy-Gated Adaptive Hybrid Forecasting</w:t>
      </w:r>
    </w:p>
    <w:p>
      <w:pPr>
        <w:pStyle w:val="Heading2"/>
        <w:spacing w:before="120" w:after="80"/>
      </w:pPr>
      <w:r>
        <w:t>3.1 Problem Statement and Novel Contribution</w:t>
      </w:r>
    </w:p>
    <w:p>
      <w:pPr>
        <w:spacing w:before="0" w:after="120"/>
        <w:jc w:val="both"/>
      </w:pPr>
      <w:r>
        <w:rPr>
          <w:b w:val="0"/>
          <w:i w:val="0"/>
          <w:sz w:val="22"/>
        </w:rPr>
        <w:t>All existing hybrid forecasting models, including those reviewed in Papers 1 through 7, apply fixed, static weights between news sentiment signals and technical indicator signals, treating both feature types as equally important regardless of current market conditions. This is a fundamental architectural limitation. The relative predictive dominance of sentiment versus technical signals shifts dynamically depending on market regime: during macroeconomic announcements, earnings surprises, or geopolitical shocks, sentiment-driven information dominates price action and technical patterns become unreliable noise; during stable, low-news periods, technical indicators carry significantly more predictive power. No existing academic system and no commercial tool adapts this weighting in real time based on a principled measure of the current information environment.</w:t>
      </w:r>
    </w:p>
    <w:p>
      <w:pPr>
        <w:spacing w:before="0" w:after="200"/>
        <w:jc w:val="both"/>
      </w:pPr>
      <w:r>
        <w:rPr>
          <w:b w:val="0"/>
          <w:i w:val="0"/>
          <w:sz w:val="22"/>
        </w:rPr>
        <w:t>The proposed system introduces a learnable entropy-driven gating mechanism that continuously adjusts the relative contribution of sentiment versus technical features using the Shannon entropy of daily news sentiment distributions as a real-time regime signal. This directly addresses a documented limitation present across all reviewed papers and commercial tools, and is architecturally distinct from HD-SURDLM, which updates regression coefficients over time without detecting discrete regime states, and from ALERA, which uses entropy for position sizing rather than as an input gate within the forecasting model.</w:t>
      </w:r>
    </w:p>
    <w:p>
      <w:pPr>
        <w:pStyle w:val="Heading2"/>
        <w:spacing w:before="120" w:after="80"/>
      </w:pPr>
      <w:r>
        <w:t>3.2 System Architecture</w:t>
      </w:r>
    </w:p>
    <w:p>
      <w:pPr>
        <w:spacing w:before="0" w:after="80"/>
        <w:jc w:val="both"/>
      </w:pPr>
      <w:r>
        <w:rPr>
          <w:b w:val="0"/>
          <w:i w:val="0"/>
          <w:sz w:val="22"/>
        </w:rPr>
        <w:t>The system comprises six integrated modules: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1F497D"/>
            <w:vAlign w:val="center"/>
          </w:tcPr>
          <w:p>
            <w:pPr>
              <w:jc w:val="center"/>
            </w:pPr>
            <w:r>
              <w:rPr>
                <w:b/>
                <w:color w:val="FFFFFF"/>
                <w:sz w:val="18"/>
              </w:rPr>
              <w:t>Module</w:t>
            </w:r>
          </w:p>
        </w:tc>
        <w:tc>
          <w:tcPr>
            <w:tcW w:type="dxa" w:w="5184"/>
            <w:shd w:val="clear" w:color="auto" w:fill="1F497D"/>
            <w:vAlign w:val="center"/>
          </w:tcPr>
          <w:p>
            <w:pPr>
              <w:jc w:val="center"/>
            </w:pPr>
            <w:r>
              <w:rPr>
                <w:b/>
                <w:color w:val="FFFFFF"/>
                <w:sz w:val="18"/>
              </w:rPr>
              <w:t>Description</w:t>
            </w:r>
          </w:p>
        </w:tc>
        <w:tc>
          <w:tcPr>
            <w:tcW w:type="dxa" w:w="3168"/>
            <w:shd w:val="clear" w:color="auto" w:fill="1F497D"/>
            <w:vAlign w:val="center"/>
          </w:tcPr>
          <w:p>
            <w:pPr>
              <w:jc w:val="center"/>
            </w:pPr>
            <w:r>
              <w:rPr>
                <w:b/>
                <w:color w:val="FFFFFF"/>
                <w:sz w:val="18"/>
              </w:rPr>
              <w:t>Technology</w:t>
            </w:r>
          </w:p>
        </w:tc>
      </w:tr>
      <w:tr>
        <w:tc>
          <w:tcPr>
            <w:tcW w:type="dxa" w:w="2160"/>
            <w:shd w:val="clear" w:color="auto" w:fill="EBF3FB"/>
            <w:vAlign w:val="top"/>
          </w:tcPr>
          <w:p>
            <w:r>
              <w:rPr>
                <w:b/>
                <w:sz w:val="18"/>
              </w:rPr>
              <w:t>Data Ingestion</w:t>
            </w:r>
          </w:p>
        </w:tc>
        <w:tc>
          <w:tcPr>
            <w:tcW w:type="dxa" w:w="5184"/>
            <w:shd w:val="clear" w:color="auto" w:fill="EBF3FB"/>
            <w:vAlign w:val="top"/>
          </w:tcPr>
          <w:p>
            <w:r>
              <w:rPr>
                <w:b w:val="0"/>
                <w:sz w:val="18"/>
              </w:rPr>
              <w:t>Fetches daily OHLCV price data and financial news headlines for any user-specified stock ticker.</w:t>
            </w:r>
          </w:p>
        </w:tc>
        <w:tc>
          <w:tcPr>
            <w:tcW w:type="dxa" w:w="3168"/>
            <w:shd w:val="clear" w:color="auto" w:fill="EBF3FB"/>
            <w:vAlign w:val="top"/>
          </w:tcPr>
          <w:p>
            <w:r>
              <w:rPr>
                <w:b w:val="0"/>
                <w:sz w:val="18"/>
              </w:rPr>
              <w:t>yfinance, NewsAPI / RSS</w:t>
            </w:r>
          </w:p>
        </w:tc>
      </w:tr>
      <w:tr>
        <w:tc>
          <w:tcPr>
            <w:tcW w:type="dxa" w:w="2160"/>
            <w:vAlign w:val="top"/>
          </w:tcPr>
          <w:p>
            <w:r>
              <w:rPr>
                <w:b/>
                <w:sz w:val="18"/>
              </w:rPr>
              <w:t>Sentiment Analysis</w:t>
            </w:r>
          </w:p>
        </w:tc>
        <w:tc>
          <w:tcPr>
            <w:tcW w:type="dxa" w:w="5184"/>
            <w:vAlign w:val="top"/>
          </w:tcPr>
          <w:p>
            <w:r>
              <w:rPr>
                <w:b w:val="0"/>
                <w:sz w:val="18"/>
              </w:rPr>
              <w:t>Classifies each headline as positive, negative, or neutral. Computes (1) daily sentiment score S_t and (2) daily sentiment entropy H_t as the regime signal.</w:t>
            </w:r>
          </w:p>
        </w:tc>
        <w:tc>
          <w:tcPr>
            <w:tcW w:type="dxa" w:w="3168"/>
            <w:vAlign w:val="top"/>
          </w:tcPr>
          <w:p>
            <w:r>
              <w:rPr>
                <w:b w:val="0"/>
                <w:sz w:val="18"/>
              </w:rPr>
              <w:t>FinBERT (HuggingFace)</w:t>
            </w:r>
          </w:p>
        </w:tc>
      </w:tr>
      <w:tr>
        <w:tc>
          <w:tcPr>
            <w:tcW w:type="dxa" w:w="2160"/>
            <w:shd w:val="clear" w:color="auto" w:fill="EBF3FB"/>
            <w:vAlign w:val="top"/>
          </w:tcPr>
          <w:p>
            <w:r>
              <w:rPr>
                <w:b/>
                <w:sz w:val="18"/>
              </w:rPr>
              <w:t>Technical Analysis</w:t>
            </w:r>
          </w:p>
        </w:tc>
        <w:tc>
          <w:tcPr>
            <w:tcW w:type="dxa" w:w="5184"/>
            <w:shd w:val="clear" w:color="auto" w:fill="EBF3FB"/>
            <w:vAlign w:val="top"/>
          </w:tcPr>
          <w:p>
            <w:r>
              <w:rPr>
                <w:b w:val="0"/>
                <w:sz w:val="18"/>
              </w:rPr>
              <w:t>Computes RSI, MACD, SMA 20/50-day, OBV, and ADX to form the technical feature vector X_t.</w:t>
            </w:r>
          </w:p>
        </w:tc>
        <w:tc>
          <w:tcPr>
            <w:tcW w:type="dxa" w:w="3168"/>
            <w:shd w:val="clear" w:color="auto" w:fill="EBF3FB"/>
            <w:vAlign w:val="top"/>
          </w:tcPr>
          <w:p>
            <w:r>
              <w:rPr>
                <w:b w:val="0"/>
                <w:sz w:val="18"/>
              </w:rPr>
              <w:t>Pandas TA</w:t>
            </w:r>
          </w:p>
        </w:tc>
      </w:tr>
      <w:tr>
        <w:tc>
          <w:tcPr>
            <w:tcW w:type="dxa" w:w="2160"/>
            <w:vAlign w:val="top"/>
          </w:tcPr>
          <w:p>
            <w:r>
              <w:rPr>
                <w:b/>
                <w:sz w:val="18"/>
              </w:rPr>
              <w:t>Entropy Gate</w:t>
            </w:r>
          </w:p>
        </w:tc>
        <w:tc>
          <w:tcPr>
            <w:tcW w:type="dxa" w:w="5184"/>
            <w:vAlign w:val="top"/>
          </w:tcPr>
          <w:p>
            <w:r>
              <w:rPr>
                <w:b w:val="0"/>
                <w:sz w:val="18"/>
              </w:rPr>
              <w:t>Computes gate weight: α_t = sigmoid(w × H_t + b). Fuses features: F_t = α_t × S_t + (1 − α_t) × X_t. High entropy → sentiment dominates; low entropy → technicals dominate.</w:t>
            </w:r>
          </w:p>
        </w:tc>
        <w:tc>
          <w:tcPr>
            <w:tcW w:type="dxa" w:w="3168"/>
            <w:vAlign w:val="top"/>
          </w:tcPr>
          <w:p>
            <w:r>
              <w:rPr>
                <w:b w:val="0"/>
                <w:sz w:val="18"/>
              </w:rPr>
              <w:t>PyTorch (learnable w, b)</w:t>
            </w:r>
          </w:p>
        </w:tc>
      </w:tr>
      <w:tr>
        <w:tc>
          <w:tcPr>
            <w:tcW w:type="dxa" w:w="2160"/>
            <w:shd w:val="clear" w:color="auto" w:fill="EBF3FB"/>
            <w:vAlign w:val="top"/>
          </w:tcPr>
          <w:p>
            <w:r>
              <w:rPr>
                <w:b/>
                <w:sz w:val="18"/>
              </w:rPr>
              <w:t>Informer Forecasting</w:t>
            </w:r>
          </w:p>
        </w:tc>
        <w:tc>
          <w:tcPr>
            <w:tcW w:type="dxa" w:w="5184"/>
            <w:shd w:val="clear" w:color="auto" w:fill="EBF3FB"/>
            <w:vAlign w:val="top"/>
          </w:tcPr>
          <w:p>
            <w:r>
              <w:rPr>
                <w:b w:val="0"/>
                <w:sz w:val="18"/>
              </w:rPr>
              <w:t>Takes F_t as input and outputs predicted prices at 5, 10, and 20 trading days ahead.</w:t>
            </w:r>
          </w:p>
        </w:tc>
        <w:tc>
          <w:tcPr>
            <w:tcW w:type="dxa" w:w="3168"/>
            <w:shd w:val="clear" w:color="auto" w:fill="EBF3FB"/>
            <w:vAlign w:val="top"/>
          </w:tcPr>
          <w:p>
            <w:r>
              <w:rPr>
                <w:b w:val="0"/>
                <w:sz w:val="18"/>
              </w:rPr>
              <w:t>PyTorch, Informer</w:t>
            </w:r>
          </w:p>
        </w:tc>
      </w:tr>
      <w:tr>
        <w:tc>
          <w:tcPr>
            <w:tcW w:type="dxa" w:w="2160"/>
            <w:vAlign w:val="top"/>
          </w:tcPr>
          <w:p>
            <w:r>
              <w:rPr>
                <w:b/>
                <w:sz w:val="18"/>
              </w:rPr>
              <w:t>Output Layer</w:t>
            </w:r>
          </w:p>
        </w:tc>
        <w:tc>
          <w:tcPr>
            <w:tcW w:type="dxa" w:w="5184"/>
            <w:vAlign w:val="top"/>
          </w:tcPr>
          <w:p>
            <w:r>
              <w:rPr>
                <w:b w:val="0"/>
                <w:sz w:val="18"/>
              </w:rPr>
              <w:t>Displays predicted price trajectory, current α_t value, and regime label: sentiment-dominant / technically-driven / mixed.</w:t>
            </w:r>
          </w:p>
        </w:tc>
        <w:tc>
          <w:tcPr>
            <w:tcW w:type="dxa" w:w="3168"/>
            <w:vAlign w:val="top"/>
          </w:tcPr>
          <w:p>
            <w:r>
              <w:rPr>
                <w:b w:val="0"/>
                <w:sz w:val="18"/>
              </w:rPr>
              <w:t>Matplotlib / Streamlit</w:t>
            </w:r>
          </w:p>
        </w:tc>
      </w:tr>
    </w:tbl>
    <w:p/>
    <w:p>
      <w:pPr>
        <w:pStyle w:val="Heading2"/>
        <w:spacing w:before="120" w:after="80"/>
      </w:pPr>
      <w:r>
        <w:t>3.3 Validation Strategy</w:t>
      </w:r>
    </w:p>
    <w:p>
      <w:pPr>
        <w:spacing w:before="0" w:after="200"/>
        <w:jc w:val="both"/>
      </w:pPr>
      <w:r>
        <w:rPr>
          <w:b w:val="0"/>
          <w:i w:val="0"/>
          <w:sz w:val="22"/>
        </w:rPr>
        <w:t>Four baselines are compared: (1) a pure technical model using only X_t, (2) a pure sentiment model using only S_t, (3) a fixed-weight hybrid identical to Paper 1 in the literature review, and (4) the proposed adaptive model. Evaluation metrics are RMSE, MAE, and directional accuracy across three forecasting horizons. The critical experiment evaluates all four models specifically during known regime-shift events, the COVID-19 market crash of March 2020, the Federal Reserve interest rate hike cycle of 2022, and the SVB banking crisis of March 2023, to demonstrate that the adaptive model outperforms fixed-weight baselines precisely during the periods when regime awareness matters most.</w:t>
      </w:r>
    </w:p>
    <w:p>
      <w:pPr>
        <w:pStyle w:val="Heading1"/>
        <w:spacing w:before="200" w:after="80"/>
      </w:pPr>
      <w:r>
        <w:t>4. Comparison of Related Tools with the Proposed System</w:t>
      </w:r>
    </w:p>
    <w:p>
      <w:pPr>
        <w:spacing w:before="0" w:after="160"/>
        <w:jc w:val="both"/>
      </w:pPr>
      <w:r>
        <w:rPr>
          <w:b w:val="0"/>
          <w:i w:val="0"/>
          <w:sz w:val="22"/>
        </w:rPr>
        <w:t>Five commercially deployed AI-driven stock prediction tools are evaluated below. All operate in the same task domain, AI-powered stock signal generation and price prediction to support investment decisions, and are publicly documented. Each is assessed on its core technology, supported features, and key limitations, followed by a structured cross-tool comparison and gap analysis.</w:t>
      </w:r>
    </w:p>
    <w:p>
      <w:pPr>
        <w:spacing w:before="160" w:after="60"/>
      </w:pPr>
      <w:r>
        <w:rPr>
          <w:b/>
          <w:color w:val="1F497D"/>
          <w:sz w:val="24"/>
        </w:rPr>
        <w:t>Tool 1, I Know First</w:t>
      </w:r>
    </w:p>
    <w:p>
      <w:pPr>
        <w:spacing w:before="0" w:after="80"/>
        <w:jc w:val="both"/>
      </w:pPr>
      <w:r>
        <w:rPr>
          <w:b w:val="0"/>
          <w:i w:val="0"/>
          <w:sz w:val="22"/>
        </w:rPr>
        <w:t>I Know First generates daily directional signals for 13,500+ financial assets using a neural network combined with a genetic algorithm trained on 15 years of price and volume history. It models inter-asset money flows to infer directional price pressure across six horizons from 1 day to 1 year (iknowfirst.com).</w:t>
      </w:r>
    </w:p>
    <w:p>
      <w:pPr>
        <w:spacing w:after="20" w:before="80"/>
      </w:pPr>
      <w:r>
        <w:rPr>
          <w:b/>
          <w:color w:val="2E74B5"/>
          <w:sz w:val="21"/>
        </w:rPr>
        <w:t>Key Features</w:t>
      </w:r>
    </w:p>
    <w:p>
      <w:pPr>
        <w:spacing w:after="40" w:before="0"/>
        <w:ind w:left="432"/>
      </w:pPr>
      <w:r>
        <w:rPr>
          <w:sz w:val="21"/>
        </w:rPr>
        <w:t>•  Directional signal (bullish/bearish) and predictability score for 13,500+ global assets</w:t>
      </w:r>
    </w:p>
    <w:p>
      <w:pPr>
        <w:spacing w:after="40" w:before="0"/>
        <w:ind w:left="432"/>
      </w:pPr>
      <w:r>
        <w:rPr>
          <w:sz w:val="21"/>
        </w:rPr>
        <w:t>•  Multi-horizon forecasting: 1-day, 3-day, 7-day, 14-day, 1-month, and 1-year</w:t>
      </w:r>
    </w:p>
    <w:p>
      <w:pPr>
        <w:spacing w:after="40" w:before="0"/>
        <w:ind w:left="432"/>
      </w:pPr>
      <w:r>
        <w:rPr>
          <w:sz w:val="21"/>
        </w:rPr>
        <w:t>•  Inter-asset relationship modelling with genetic algorithm reoptimisation</w:t>
      </w:r>
    </w:p>
    <w:p>
      <w:pPr>
        <w:spacing w:after="20" w:before="80"/>
      </w:pPr>
      <w:r>
        <w:rPr>
          <w:b/>
          <w:color w:val="2E74B5"/>
          <w:sz w:val="21"/>
        </w:rPr>
        <w:t>Key Limitations</w:t>
      </w:r>
    </w:p>
    <w:p>
      <w:pPr>
        <w:spacing w:after="40" w:before="0"/>
        <w:ind w:left="432"/>
      </w:pPr>
      <w:r>
        <w:rPr>
          <w:sz w:val="21"/>
        </w:rPr>
        <w:t>•  No sentiment integration of any kind, purely price and volume driven</w:t>
      </w:r>
    </w:p>
    <w:p>
      <w:pPr>
        <w:spacing w:after="40" w:before="0"/>
        <w:ind w:left="432"/>
      </w:pPr>
      <w:r>
        <w:rPr>
          <w:sz w:val="21"/>
        </w:rPr>
        <w:t>•  Outputs a directional signal, not an actual price level or trajectory</w:t>
      </w:r>
    </w:p>
    <w:p>
      <w:pPr>
        <w:spacing w:after="200" w:before="0"/>
        <w:ind w:left="432"/>
      </w:pPr>
      <w:r>
        <w:rPr>
          <w:sz w:val="21"/>
        </w:rPr>
        <w:t>•  Genetic algorithm adapts slowly; cannot recalibrate rapidly during sudden regime shifts or major news events</w:t>
      </w:r>
    </w:p>
    <w:p>
      <w:pPr>
        <w:spacing w:before="160" w:after="60"/>
      </w:pPr>
      <w:r>
        <w:rPr>
          <w:b/>
          <w:color w:val="1F497D"/>
          <w:sz w:val="24"/>
        </w:rPr>
        <w:t>Tool 2, StarMine (LSEG / Refinitiv)</w:t>
      </w:r>
    </w:p>
    <w:p>
      <w:pPr>
        <w:spacing w:before="0" w:after="80"/>
        <w:jc w:val="both"/>
      </w:pPr>
      <w:r>
        <w:rPr>
          <w:b w:val="0"/>
          <w:i w:val="0"/>
          <w:sz w:val="22"/>
        </w:rPr>
        <w:t>StarMine is an institutional quantitative ranking platform used by Goldman Sachs, JPMorgan, and Fidelity. It operates through specialised factor models, including the Analyst Revisions Model, SmartEstimate, Smart Holdings (25 fixed factors), and a Combined Alpha Model, to rank global equities (lseg.com/starmine).</w:t>
      </w:r>
    </w:p>
    <w:p>
      <w:pPr>
        <w:spacing w:after="20" w:before="80"/>
      </w:pPr>
      <w:r>
        <w:rPr>
          <w:b/>
          <w:color w:val="2E74B5"/>
          <w:sz w:val="21"/>
        </w:rPr>
        <w:t>Key Features</w:t>
      </w:r>
    </w:p>
    <w:p>
      <w:pPr>
        <w:spacing w:after="40" w:before="0"/>
        <w:ind w:left="432"/>
      </w:pPr>
      <w:r>
        <w:rPr>
          <w:sz w:val="21"/>
        </w:rPr>
        <w:t>•  SmartEstimate: accuracy-weighted analyst consensus outperforming simple consensus</w:t>
      </w:r>
    </w:p>
    <w:p>
      <w:pPr>
        <w:spacing w:after="40" w:before="0"/>
        <w:ind w:left="432"/>
      </w:pPr>
      <w:r>
        <w:rPr>
          <w:sz w:val="21"/>
        </w:rPr>
        <w:t>•  Combined Alpha Model blending value, momentum, ownership, and quality signals</w:t>
      </w:r>
    </w:p>
    <w:p>
      <w:pPr>
        <w:spacing w:after="40" w:before="0"/>
        <w:ind w:left="432"/>
      </w:pPr>
      <w:r>
        <w:rPr>
          <w:sz w:val="21"/>
        </w:rPr>
        <w:t>•  Broad global equity coverage available via enterprise API</w:t>
      </w:r>
    </w:p>
    <w:p>
      <w:pPr>
        <w:spacing w:after="20" w:before="80"/>
      </w:pPr>
      <w:r>
        <w:rPr>
          <w:b/>
          <w:color w:val="2E74B5"/>
          <w:sz w:val="21"/>
        </w:rPr>
        <w:t>Key Limitations</w:t>
      </w:r>
    </w:p>
    <w:p>
      <w:pPr>
        <w:spacing w:after="40" w:before="0"/>
        <w:ind w:left="432"/>
      </w:pPr>
      <w:r>
        <w:rPr>
          <w:sz w:val="21"/>
        </w:rPr>
        <w:t>•  All signals depend on sell-side analyst reports and institutional filings, inherently lagged by days to months</w:t>
      </w:r>
    </w:p>
    <w:p>
      <w:pPr>
        <w:spacing w:after="40" w:before="0"/>
        <w:ind w:left="432"/>
      </w:pPr>
      <w:r>
        <w:rPr>
          <w:sz w:val="21"/>
        </w:rPr>
        <w:t>•  Sentiment (MarketPsych) is a detached add-on, not integrated into the core prediction architecture</w:t>
      </w:r>
    </w:p>
    <w:p>
      <w:pPr>
        <w:spacing w:after="200" w:before="0"/>
        <w:ind w:left="432"/>
      </w:pPr>
      <w:r>
        <w:rPr>
          <w:sz w:val="21"/>
        </w:rPr>
        <w:t>•  Enterprise-only access; outputs percentile rankings, not actual price forecasts; no uncertainty quantification</w:t>
      </w:r>
    </w:p>
    <w:p>
      <w:pPr>
        <w:spacing w:before="160" w:after="60"/>
      </w:pPr>
      <w:r>
        <w:rPr>
          <w:b/>
          <w:color w:val="1F497D"/>
          <w:sz w:val="24"/>
        </w:rPr>
        <w:t>Tool 3, Seeking Alpha Quant Ratings</w:t>
      </w:r>
    </w:p>
    <w:p>
      <w:pPr>
        <w:spacing w:before="0" w:after="80"/>
        <w:jc w:val="both"/>
      </w:pPr>
      <w:r>
        <w:rPr>
          <w:b w:val="0"/>
          <w:i w:val="0"/>
          <w:sz w:val="22"/>
        </w:rPr>
        <w:t>Seeking Alpha Quant scores approximately 5,600 US-listed stocks daily across five fixed factors, Value, Growth, Profitability, Momentum, and EPS Revisions, graded relative to sector peers and combined into a final 1.0–5.0 rating. Backtesting from 2010 showed Strong Buy ratings substantially outperformed the S&amp;P 500, independently validated by a University of Kentucky study (seekingalpha.com).</w:t>
      </w:r>
    </w:p>
    <w:p>
      <w:pPr>
        <w:spacing w:after="20" w:before="80"/>
      </w:pPr>
      <w:r>
        <w:rPr>
          <w:b/>
          <w:color w:val="2E74B5"/>
          <w:sz w:val="21"/>
        </w:rPr>
        <w:t>Key Features</w:t>
      </w:r>
    </w:p>
    <w:p>
      <w:pPr>
        <w:spacing w:after="40" w:before="0"/>
        <w:ind w:left="432"/>
      </w:pPr>
      <w:r>
        <w:rPr>
          <w:sz w:val="21"/>
        </w:rPr>
        <w:t>•  Five-factor daily scoring with sector-relative letter grades from A+ to F</w:t>
      </w:r>
    </w:p>
    <w:p>
      <w:pPr>
        <w:spacing w:after="40" w:before="0"/>
        <w:ind w:left="432"/>
      </w:pPr>
      <w:r>
        <w:rPr>
          <w:sz w:val="21"/>
        </w:rPr>
        <w:t>•  Factor-level grade transparency enabling style-based filtering</w:t>
      </w:r>
    </w:p>
    <w:p>
      <w:pPr>
        <w:spacing w:after="40" w:before="0"/>
        <w:ind w:left="432"/>
      </w:pPr>
      <w:r>
        <w:rPr>
          <w:sz w:val="21"/>
        </w:rPr>
        <w:t>•  Backtested performance data publicly available from 2010 to present</w:t>
      </w:r>
    </w:p>
    <w:p>
      <w:pPr>
        <w:spacing w:after="20" w:before="80"/>
      </w:pPr>
      <w:r>
        <w:rPr>
          <w:b/>
          <w:color w:val="2E74B5"/>
          <w:sz w:val="21"/>
        </w:rPr>
        <w:t>Key Limitations</w:t>
      </w:r>
    </w:p>
    <w:p>
      <w:pPr>
        <w:spacing w:after="40" w:before="0"/>
        <w:ind w:left="432"/>
      </w:pPr>
      <w:r>
        <w:rPr>
          <w:sz w:val="21"/>
        </w:rPr>
        <w:t>•  No NLP or news sentiment, the model processes no text data whatsoever</w:t>
      </w:r>
    </w:p>
    <w:p>
      <w:pPr>
        <w:spacing w:after="40" w:before="0"/>
        <w:ind w:left="432"/>
      </w:pPr>
      <w:r>
        <w:rPr>
          <w:sz w:val="21"/>
        </w:rPr>
        <w:t>•  Excludes small-cap and micro-cap stocks lacking sell-side analyst coverage</w:t>
      </w:r>
    </w:p>
    <w:p>
      <w:pPr>
        <w:spacing w:after="200" w:before="0"/>
        <w:ind w:left="432"/>
      </w:pPr>
      <w:r>
        <w:rPr>
          <w:sz w:val="21"/>
        </w:rPr>
        <w:t>•  Five-factor framework is fixed and cannot incorporate new emerging signals; outputs a ranking score, not a price forecast</w:t>
      </w:r>
    </w:p>
    <w:p>
      <w:pPr>
        <w:spacing w:before="160" w:after="60"/>
      </w:pPr>
      <w:r>
        <w:rPr>
          <w:b/>
          <w:color w:val="1F497D"/>
          <w:sz w:val="24"/>
        </w:rPr>
        <w:t>Tool 4, Danelfin</w:t>
      </w:r>
    </w:p>
    <w:p>
      <w:pPr>
        <w:spacing w:before="0" w:after="80"/>
        <w:jc w:val="both"/>
      </w:pPr>
      <w:r>
        <w:rPr>
          <w:b w:val="0"/>
          <w:i w:val="0"/>
          <w:sz w:val="22"/>
        </w:rPr>
        <w:t>Danelfin assigns an AI Score from 1–10 to 10,000+ US and European stocks daily. A decision tree ensemble trained on 10,000+ features spanning technical, fundamental, and proxy sentiment indicators learns which features historically generated the most excess return over the following 60 days. Each score comes with an Explainable AI breakdown of drivers (danelfin.com).</w:t>
      </w:r>
    </w:p>
    <w:p>
      <w:pPr>
        <w:spacing w:after="20" w:before="80"/>
      </w:pPr>
      <w:r>
        <w:rPr>
          <w:b/>
          <w:color w:val="2E74B5"/>
          <w:sz w:val="21"/>
        </w:rPr>
        <w:t>Key Features</w:t>
      </w:r>
    </w:p>
    <w:p>
      <w:pPr>
        <w:spacing w:after="40" w:before="0"/>
        <w:ind w:left="432"/>
      </w:pPr>
      <w:r>
        <w:rPr>
          <w:sz w:val="21"/>
        </w:rPr>
        <w:t>•  AI Score 1–10 with Explainable AI, transparent breakdown of score drivers per stock</w:t>
      </w:r>
    </w:p>
    <w:p>
      <w:pPr>
        <w:spacing w:after="40" w:before="0"/>
        <w:ind w:left="432"/>
      </w:pPr>
      <w:r>
        <w:rPr>
          <w:sz w:val="21"/>
        </w:rPr>
        <w:t>•  Sub-scores for Technical, Fundamental, Sentiment, and Low Risk dimensions independently</w:t>
      </w:r>
    </w:p>
    <w:p>
      <w:pPr>
        <w:spacing w:after="40" w:before="0"/>
        <w:ind w:left="432"/>
      </w:pPr>
      <w:r>
        <w:rPr>
          <w:sz w:val="21"/>
        </w:rPr>
        <w:t>•  Daily updates across 10,000+ US and European stocks with score evolution tracking</w:t>
      </w:r>
    </w:p>
    <w:p>
      <w:pPr>
        <w:spacing w:after="20" w:before="80"/>
      </w:pPr>
      <w:r>
        <w:rPr>
          <w:b/>
          <w:color w:val="2E74B5"/>
          <w:sz w:val="21"/>
        </w:rPr>
        <w:t>Key Limitations</w:t>
      </w:r>
    </w:p>
    <w:p>
      <w:pPr>
        <w:spacing w:after="40" w:before="0"/>
        <w:ind w:left="432"/>
      </w:pPr>
      <w:r>
        <w:rPr>
          <w:sz w:val="21"/>
        </w:rPr>
        <w:t>•  Fixed 3-month prediction horizon only, no short-term (days/weeks) or long-term forecasting</w:t>
      </w:r>
    </w:p>
    <w:p>
      <w:pPr>
        <w:spacing w:after="40" w:before="0"/>
        <w:ind w:left="432"/>
      </w:pPr>
      <w:r>
        <w:rPr>
          <w:sz w:val="21"/>
        </w:rPr>
        <w:t>•  All sentiment signals are lagged proxies: short interest (2-week delay), insider filings (up to 2 days), analyst targets (quarterly), none are real-time</w:t>
      </w:r>
    </w:p>
    <w:p>
      <w:pPr>
        <w:spacing w:after="200" w:before="0"/>
        <w:ind w:left="432"/>
      </w:pPr>
      <w:r>
        <w:rPr>
          <w:sz w:val="21"/>
        </w:rPr>
        <w:t>•  Rolling 252-day training window forgets older regimes; outputs a probability score, not a price forecast</w:t>
      </w:r>
    </w:p>
    <w:p>
      <w:pPr>
        <w:spacing w:before="160" w:after="60"/>
      </w:pPr>
      <w:r>
        <w:rPr>
          <w:b/>
          <w:color w:val="1F497D"/>
          <w:sz w:val="24"/>
        </w:rPr>
        <w:t>Tool 5, Tickeron</w:t>
      </w:r>
    </w:p>
    <w:p>
      <w:pPr>
        <w:spacing w:before="0" w:after="80"/>
        <w:jc w:val="both"/>
      </w:pPr>
      <w:r>
        <w:rPr>
          <w:b w:val="0"/>
          <w:i w:val="0"/>
          <w:sz w:val="22"/>
        </w:rPr>
        <w:t>Tickeron is an AI trading platform that identifies classical chart patterns (head and shoulders, double bottoms, flags, etc.) in real time and assigns each a success probability based on historical occurrence data. A Trend Prediction Engine (TPE) adds a 14-day directional ML layer, and a 2024 multi-agent framework targets intraday 5- and 15-minute signals (tickeron.com).</w:t>
      </w:r>
    </w:p>
    <w:p>
      <w:pPr>
        <w:spacing w:after="20" w:before="80"/>
      </w:pPr>
      <w:r>
        <w:rPr>
          <w:b/>
          <w:color w:val="2E74B5"/>
          <w:sz w:val="21"/>
        </w:rPr>
        <w:t>Key Features</w:t>
      </w:r>
    </w:p>
    <w:p>
      <w:pPr>
        <w:spacing w:after="40" w:before="0"/>
        <w:ind w:left="432"/>
      </w:pPr>
      <w:r>
        <w:rPr>
          <w:sz w:val="21"/>
        </w:rPr>
        <w:t>•  Real-time chart pattern recognition across stocks, ETFs, forex, and crypto with certainty scores</w:t>
      </w:r>
    </w:p>
    <w:p>
      <w:pPr>
        <w:spacing w:after="40" w:before="0"/>
        <w:ind w:left="432"/>
      </w:pPr>
      <w:r>
        <w:rPr>
          <w:sz w:val="21"/>
        </w:rPr>
        <w:t>•  Trend Prediction Engine (TPE) for 14-day trend direction forecasting</w:t>
      </w:r>
    </w:p>
    <w:p>
      <w:pPr>
        <w:spacing w:after="40" w:before="0"/>
        <w:ind w:left="432"/>
      </w:pPr>
      <w:r>
        <w:rPr>
          <w:sz w:val="21"/>
        </w:rPr>
        <w:t>•  Multi-agent intraday framework for 5-minute and 15-minute signal generation</w:t>
      </w:r>
    </w:p>
    <w:p>
      <w:pPr>
        <w:spacing w:after="20" w:before="80"/>
      </w:pPr>
      <w:r>
        <w:rPr>
          <w:b/>
          <w:color w:val="2E74B5"/>
          <w:sz w:val="21"/>
        </w:rPr>
        <w:t>Key Limitations</w:t>
      </w:r>
    </w:p>
    <w:p>
      <w:pPr>
        <w:spacing w:after="40" w:before="0"/>
        <w:ind w:left="432"/>
      </w:pPr>
      <w:r>
        <w:rPr>
          <w:sz w:val="21"/>
        </w:rPr>
        <w:t>•  Purely price and volume based, no sentiment, fundamental, or macroeconomic signals of any kind</w:t>
      </w:r>
    </w:p>
    <w:p>
      <w:pPr>
        <w:spacing w:after="40" w:before="0"/>
        <w:ind w:left="432"/>
      </w:pPr>
      <w:r>
        <w:rPr>
          <w:sz w:val="21"/>
        </w:rPr>
        <w:t>•  Claimed 75–92% accuracy is backtesting-only; live trading performance shows significant degradation</w:t>
      </w:r>
    </w:p>
    <w:p>
      <w:pPr>
        <w:spacing w:after="200" w:before="0"/>
        <w:ind w:left="432"/>
      </w:pPr>
      <w:r>
        <w:rPr>
          <w:sz w:val="21"/>
        </w:rPr>
        <w:t>•  Simultaneous signal distribution to all subscribers creates crowded trades and documented slippage; outputs a directional signal, not a price forecast</w:t>
      </w:r>
    </w:p>
    <w:p>
      <w:pPr>
        <w:pStyle w:val="Heading2"/>
        <w:spacing w:before="120" w:after="80"/>
      </w:pPr>
      <w:r>
        <w:t>4.6 Structured Feature Comparison</w:t>
      </w:r>
    </w:p>
    <w:p>
      <w:pPr>
        <w:spacing w:before="0" w:after="120"/>
        <w:jc w:val="both"/>
      </w:pPr>
      <w:r>
        <w:rPr>
          <w:b w:val="0"/>
          <w:i w:val="0"/>
          <w:sz w:val="22"/>
        </w:rPr>
        <w:t>The table below compares all five tools against the proposed system across twelve dimensions critical to AI-driven stock price prediction.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232"/>
            <w:shd w:val="clear" w:color="auto" w:fill="1F497D"/>
            <w:vAlign w:val="center"/>
          </w:tcPr>
          <w:p>
            <w:pPr>
              <w:jc w:val="center"/>
            </w:pPr>
            <w:r>
              <w:rPr>
                <w:b/>
                <w:color w:val="FFFFFF"/>
                <w:sz w:val="18"/>
              </w:rPr>
              <w:t>Feature</w:t>
            </w:r>
          </w:p>
        </w:tc>
        <w:tc>
          <w:tcPr>
            <w:tcW w:type="dxa" w:w="1368"/>
            <w:shd w:val="clear" w:color="auto" w:fill="1F497D"/>
            <w:vAlign w:val="center"/>
          </w:tcPr>
          <w:p>
            <w:pPr>
              <w:jc w:val="center"/>
            </w:pPr>
            <w:r>
              <w:rPr>
                <w:b/>
                <w:color w:val="FFFFFF"/>
                <w:sz w:val="18"/>
              </w:rPr>
              <w:t>I Know First</w:t>
            </w:r>
          </w:p>
        </w:tc>
        <w:tc>
          <w:tcPr>
            <w:tcW w:type="dxa" w:w="1368"/>
            <w:shd w:val="clear" w:color="auto" w:fill="1F497D"/>
            <w:vAlign w:val="center"/>
          </w:tcPr>
          <w:p>
            <w:pPr>
              <w:jc w:val="center"/>
            </w:pPr>
            <w:r>
              <w:rPr>
                <w:b/>
                <w:color w:val="FFFFFF"/>
                <w:sz w:val="18"/>
              </w:rPr>
              <w:t>StarMine</w:t>
              <w:br/>
              <w:t>(LSEG)</w:t>
            </w:r>
          </w:p>
        </w:tc>
        <w:tc>
          <w:tcPr>
            <w:tcW w:type="dxa" w:w="1368"/>
            <w:shd w:val="clear" w:color="auto" w:fill="1F497D"/>
            <w:vAlign w:val="center"/>
          </w:tcPr>
          <w:p>
            <w:pPr>
              <w:jc w:val="center"/>
            </w:pPr>
            <w:r>
              <w:rPr>
                <w:b/>
                <w:color w:val="FFFFFF"/>
                <w:sz w:val="18"/>
              </w:rPr>
              <w:t>Seeking Alpha</w:t>
              <w:br/>
              <w:t>Quant</w:t>
            </w:r>
          </w:p>
        </w:tc>
        <w:tc>
          <w:tcPr>
            <w:tcW w:type="dxa" w:w="1296"/>
            <w:shd w:val="clear" w:color="auto" w:fill="1F497D"/>
            <w:vAlign w:val="center"/>
          </w:tcPr>
          <w:p>
            <w:pPr>
              <w:jc w:val="center"/>
            </w:pPr>
            <w:r>
              <w:rPr>
                <w:b/>
                <w:color w:val="FFFFFF"/>
                <w:sz w:val="18"/>
              </w:rPr>
              <w:t>Danelfin</w:t>
            </w:r>
          </w:p>
        </w:tc>
        <w:tc>
          <w:tcPr>
            <w:tcW w:type="dxa" w:w="1296"/>
            <w:shd w:val="clear" w:color="auto" w:fill="1F497D"/>
            <w:vAlign w:val="center"/>
          </w:tcPr>
          <w:p>
            <w:pPr>
              <w:jc w:val="center"/>
            </w:pPr>
            <w:r>
              <w:rPr>
                <w:b/>
                <w:color w:val="FFFFFF"/>
                <w:sz w:val="18"/>
              </w:rPr>
              <w:t>Tickeron</w:t>
            </w:r>
          </w:p>
        </w:tc>
        <w:tc>
          <w:tcPr>
            <w:tcW w:type="dxa" w:w="1728"/>
            <w:shd w:val="clear" w:color="auto" w:fill="1F497D"/>
            <w:vAlign w:val="center"/>
          </w:tcPr>
          <w:p>
            <w:pPr>
              <w:jc w:val="center"/>
            </w:pPr>
            <w:r>
              <w:rPr>
                <w:b/>
                <w:color w:val="FFFFFF"/>
                <w:sz w:val="18"/>
              </w:rPr>
              <w:t>Proposed</w:t>
              <w:br/>
              <w:t>System</w:t>
            </w:r>
          </w:p>
        </w:tc>
      </w:tr>
      <w:tr>
        <w:tc>
          <w:tcPr>
            <w:tcW w:type="dxa" w:w="2232"/>
            <w:shd w:val="clear" w:color="auto" w:fill="EBF3FB"/>
            <w:vAlign w:val="top"/>
          </w:tcPr>
          <w:p>
            <w:r>
              <w:rPr>
                <w:b/>
                <w:sz w:val="17"/>
              </w:rPr>
              <w:t>Core Technology</w:t>
            </w:r>
          </w:p>
        </w:tc>
        <w:tc>
          <w:tcPr>
            <w:tcW w:type="dxa" w:w="1368"/>
            <w:shd w:val="clear" w:color="auto" w:fill="EBF3FB"/>
            <w:vAlign w:val="top"/>
          </w:tcPr>
          <w:p>
            <w:r>
              <w:rPr>
                <w:b w:val="0"/>
                <w:sz w:val="17"/>
              </w:rPr>
              <w:t>Neural net + genetic algorithm on price/volume</w:t>
            </w:r>
          </w:p>
        </w:tc>
        <w:tc>
          <w:tcPr>
            <w:tcW w:type="dxa" w:w="1368"/>
            <w:shd w:val="clear" w:color="auto" w:fill="EBF3FB"/>
            <w:vAlign w:val="top"/>
          </w:tcPr>
          <w:p>
            <w:r>
              <w:rPr>
                <w:b w:val="0"/>
                <w:sz w:val="17"/>
              </w:rPr>
              <w:t>Multi-factor quant models on analyst/institutional data</w:t>
            </w:r>
          </w:p>
        </w:tc>
        <w:tc>
          <w:tcPr>
            <w:tcW w:type="dxa" w:w="1368"/>
            <w:shd w:val="clear" w:color="auto" w:fill="EBF3FB"/>
            <w:vAlign w:val="top"/>
          </w:tcPr>
          <w:p>
            <w:r>
              <w:rPr>
                <w:b w:val="0"/>
                <w:sz w:val="17"/>
              </w:rPr>
              <w:t>Five-factor quant scoring on fundamentals</w:t>
            </w:r>
          </w:p>
        </w:tc>
        <w:tc>
          <w:tcPr>
            <w:tcW w:type="dxa" w:w="1296"/>
            <w:shd w:val="clear" w:color="auto" w:fill="EBF3FB"/>
            <w:vAlign w:val="top"/>
          </w:tcPr>
          <w:p>
            <w:r>
              <w:rPr>
                <w:b w:val="0"/>
                <w:sz w:val="17"/>
              </w:rPr>
              <w:t>Decision tree ensemble on 10,000+ features</w:t>
            </w:r>
          </w:p>
        </w:tc>
        <w:tc>
          <w:tcPr>
            <w:tcW w:type="dxa" w:w="1296"/>
            <w:shd w:val="clear" w:color="auto" w:fill="EBF3FB"/>
            <w:vAlign w:val="top"/>
          </w:tcPr>
          <w:p>
            <w:r>
              <w:rPr>
                <w:b w:val="0"/>
                <w:sz w:val="17"/>
              </w:rPr>
              <w:t>Chart pattern recognition + ML trend engine</w:t>
            </w:r>
          </w:p>
        </w:tc>
        <w:tc>
          <w:tcPr>
            <w:tcW w:type="dxa" w:w="1728"/>
            <w:shd w:val="clear" w:color="auto" w:fill="EBF3FB"/>
            <w:vAlign w:val="top"/>
          </w:tcPr>
          <w:p>
            <w:r>
              <w:rPr>
                <w:b w:val="0"/>
                <w:sz w:val="17"/>
              </w:rPr>
              <w:t>FinBERT sentiment + Pandas TA technicals fused via entropy gate into Informer forecaster</w:t>
            </w:r>
          </w:p>
        </w:tc>
      </w:tr>
      <w:tr>
        <w:tc>
          <w:tcPr>
            <w:tcW w:type="dxa" w:w="2232"/>
            <w:vAlign w:val="top"/>
          </w:tcPr>
          <w:p>
            <w:r>
              <w:rPr>
                <w:b/>
                <w:sz w:val="17"/>
              </w:rPr>
              <w:t>Real-Time News Sentiment</w:t>
            </w:r>
          </w:p>
        </w:tc>
        <w:tc>
          <w:tcPr>
            <w:tcW w:type="dxa" w:w="1368"/>
            <w:vAlign w:val="top"/>
          </w:tcPr>
          <w:p>
            <w:r>
              <w:rPr>
                <w:b w:val="0"/>
                <w:sz w:val="17"/>
              </w:rPr>
              <w:t>None</w:t>
            </w:r>
          </w:p>
        </w:tc>
        <w:tc>
          <w:tcPr>
            <w:tcW w:type="dxa" w:w="1368"/>
            <w:vAlign w:val="top"/>
          </w:tcPr>
          <w:p>
            <w:r>
              <w:rPr>
                <w:b w:val="0"/>
                <w:sz w:val="17"/>
              </w:rPr>
              <w:t>Add-on only, not integrated into prediction</w:t>
            </w:r>
          </w:p>
        </w:tc>
        <w:tc>
          <w:tcPr>
            <w:tcW w:type="dxa" w:w="1368"/>
            <w:vAlign w:val="top"/>
          </w:tcPr>
          <w:p>
            <w:r>
              <w:rPr>
                <w:b w:val="0"/>
                <w:sz w:val="17"/>
              </w:rPr>
              <w:t>None, EPS revisions proxy only</w:t>
            </w:r>
          </w:p>
        </w:tc>
        <w:tc>
          <w:tcPr>
            <w:tcW w:type="dxa" w:w="1296"/>
            <w:vAlign w:val="top"/>
          </w:tcPr>
          <w:p>
            <w:r>
              <w:rPr>
                <w:b w:val="0"/>
                <w:sz w:val="17"/>
              </w:rPr>
              <w:t>None, lagged proxies only</w:t>
            </w:r>
          </w:p>
        </w:tc>
        <w:tc>
          <w:tcPr>
            <w:tcW w:type="dxa" w:w="1296"/>
            <w:vAlign w:val="top"/>
          </w:tcPr>
          <w:p>
            <w:r>
              <w:rPr>
                <w:b w:val="0"/>
                <w:sz w:val="17"/>
              </w:rPr>
              <w:t>None</w:t>
            </w:r>
          </w:p>
        </w:tc>
        <w:tc>
          <w:tcPr>
            <w:tcW w:type="dxa" w:w="1728"/>
            <w:vAlign w:val="top"/>
          </w:tcPr>
          <w:p>
            <w:r>
              <w:rPr>
                <w:b w:val="0"/>
                <w:sz w:val="17"/>
              </w:rPr>
              <w:t>YES, FinBERT classifies headlines daily</w:t>
            </w:r>
          </w:p>
        </w:tc>
      </w:tr>
      <w:tr>
        <w:tc>
          <w:tcPr>
            <w:tcW w:type="dxa" w:w="2232"/>
            <w:shd w:val="clear" w:color="auto" w:fill="EBF3FB"/>
            <w:vAlign w:val="top"/>
          </w:tcPr>
          <w:p>
            <w:r>
              <w:rPr>
                <w:b/>
                <w:sz w:val="17"/>
              </w:rPr>
              <w:t>Adaptive Signal Weighting</w:t>
            </w:r>
          </w:p>
        </w:tc>
        <w:tc>
          <w:tcPr>
            <w:tcW w:type="dxa" w:w="1368"/>
            <w:shd w:val="clear" w:color="auto" w:fill="EBF3FB"/>
            <w:vAlign w:val="top"/>
          </w:tcPr>
          <w:p>
            <w:r>
              <w:rPr>
                <w:b w:val="0"/>
                <w:sz w:val="17"/>
              </w:rPr>
              <w:t>No, fixed NN weights</w:t>
            </w:r>
          </w:p>
        </w:tc>
        <w:tc>
          <w:tcPr>
            <w:tcW w:type="dxa" w:w="1368"/>
            <w:shd w:val="clear" w:color="auto" w:fill="EBF3FB"/>
            <w:vAlign w:val="top"/>
          </w:tcPr>
          <w:p>
            <w:r>
              <w:rPr>
                <w:b w:val="0"/>
                <w:sz w:val="17"/>
              </w:rPr>
              <w:t>No, fixed 25-factor model</w:t>
            </w:r>
          </w:p>
        </w:tc>
        <w:tc>
          <w:tcPr>
            <w:tcW w:type="dxa" w:w="1368"/>
            <w:shd w:val="clear" w:color="auto" w:fill="EBF3FB"/>
            <w:vAlign w:val="top"/>
          </w:tcPr>
          <w:p>
            <w:r>
              <w:rPr>
                <w:b w:val="0"/>
                <w:sz w:val="17"/>
              </w:rPr>
              <w:t>No, fixed 5-factor framework</w:t>
            </w:r>
          </w:p>
        </w:tc>
        <w:tc>
          <w:tcPr>
            <w:tcW w:type="dxa" w:w="1296"/>
            <w:shd w:val="clear" w:color="auto" w:fill="EBF3FB"/>
            <w:vAlign w:val="top"/>
          </w:tcPr>
          <w:p>
            <w:r>
              <w:rPr>
                <w:b w:val="0"/>
                <w:sz w:val="17"/>
              </w:rPr>
              <w:t>No, fixed ensemble</w:t>
            </w:r>
          </w:p>
        </w:tc>
        <w:tc>
          <w:tcPr>
            <w:tcW w:type="dxa" w:w="1296"/>
            <w:shd w:val="clear" w:color="auto" w:fill="EBF3FB"/>
            <w:vAlign w:val="top"/>
          </w:tcPr>
          <w:p>
            <w:r>
              <w:rPr>
                <w:b w:val="0"/>
                <w:sz w:val="17"/>
              </w:rPr>
              <w:t>No, fixed pattern library</w:t>
            </w:r>
          </w:p>
        </w:tc>
        <w:tc>
          <w:tcPr>
            <w:tcW w:type="dxa" w:w="1728"/>
            <w:shd w:val="clear" w:color="auto" w:fill="EBF3FB"/>
            <w:vAlign w:val="top"/>
          </w:tcPr>
          <w:p>
            <w:r>
              <w:rPr>
                <w:b w:val="0"/>
                <w:sz w:val="17"/>
              </w:rPr>
              <w:t>YES, entropy gate α_t adjusts sentiment vs technical contribution daily</w:t>
            </w:r>
          </w:p>
        </w:tc>
      </w:tr>
      <w:tr>
        <w:tc>
          <w:tcPr>
            <w:tcW w:type="dxa" w:w="2232"/>
            <w:vAlign w:val="top"/>
          </w:tcPr>
          <w:p>
            <w:r>
              <w:rPr>
                <w:b/>
                <w:sz w:val="17"/>
              </w:rPr>
              <w:t>Regime Detection</w:t>
            </w:r>
          </w:p>
        </w:tc>
        <w:tc>
          <w:tcPr>
            <w:tcW w:type="dxa" w:w="1368"/>
            <w:vAlign w:val="top"/>
          </w:tcPr>
          <w:p>
            <w:r>
              <w:rPr>
                <w:b w:val="0"/>
                <w:sz w:val="17"/>
              </w:rPr>
              <w:t>No</w:t>
            </w:r>
          </w:p>
        </w:tc>
        <w:tc>
          <w:tcPr>
            <w:tcW w:type="dxa" w:w="1368"/>
            <w:vAlign w:val="top"/>
          </w:tcPr>
          <w:p>
            <w:r>
              <w:rPr>
                <w:b w:val="0"/>
                <w:sz w:val="17"/>
              </w:rPr>
              <w:t>No</w:t>
            </w:r>
          </w:p>
        </w:tc>
        <w:tc>
          <w:tcPr>
            <w:tcW w:type="dxa" w:w="1368"/>
            <w:vAlign w:val="top"/>
          </w:tcPr>
          <w:p>
            <w:r>
              <w:rPr>
                <w:b w:val="0"/>
                <w:sz w:val="17"/>
              </w:rPr>
              <w:t>No</w:t>
            </w:r>
          </w:p>
        </w:tc>
        <w:tc>
          <w:tcPr>
            <w:tcW w:type="dxa" w:w="1296"/>
            <w:vAlign w:val="top"/>
          </w:tcPr>
          <w:p>
            <w:r>
              <w:rPr>
                <w:b w:val="0"/>
                <w:sz w:val="17"/>
              </w:rPr>
              <w:t>No</w:t>
            </w:r>
          </w:p>
        </w:tc>
        <w:tc>
          <w:tcPr>
            <w:tcW w:type="dxa" w:w="1296"/>
            <w:vAlign w:val="top"/>
          </w:tcPr>
          <w:p>
            <w:r>
              <w:rPr>
                <w:b w:val="0"/>
                <w:sz w:val="17"/>
              </w:rPr>
              <w:t>No</w:t>
            </w:r>
          </w:p>
        </w:tc>
        <w:tc>
          <w:tcPr>
            <w:tcW w:type="dxa" w:w="1728"/>
            <w:vAlign w:val="top"/>
          </w:tcPr>
          <w:p>
            <w:r>
              <w:rPr>
                <w:b w:val="0"/>
                <w:sz w:val="17"/>
              </w:rPr>
              <w:t>YES, Shannon entropy H_t detects news-driven vs technical regimes</w:t>
            </w:r>
          </w:p>
        </w:tc>
      </w:tr>
      <w:tr>
        <w:tc>
          <w:tcPr>
            <w:tcW w:type="dxa" w:w="2232"/>
            <w:shd w:val="clear" w:color="auto" w:fill="EBF3FB"/>
            <w:vAlign w:val="top"/>
          </w:tcPr>
          <w:p>
            <w:r>
              <w:rPr>
                <w:b/>
                <w:sz w:val="17"/>
              </w:rPr>
              <w:t>Forecast Output Type</w:t>
            </w:r>
          </w:p>
        </w:tc>
        <w:tc>
          <w:tcPr>
            <w:tcW w:type="dxa" w:w="1368"/>
            <w:shd w:val="clear" w:color="auto" w:fill="EBF3FB"/>
            <w:vAlign w:val="top"/>
          </w:tcPr>
          <w:p>
            <w:r>
              <w:rPr>
                <w:b w:val="0"/>
                <w:sz w:val="17"/>
              </w:rPr>
              <w:t>Directional signal + predictability score</w:t>
            </w:r>
          </w:p>
        </w:tc>
        <w:tc>
          <w:tcPr>
            <w:tcW w:type="dxa" w:w="1368"/>
            <w:shd w:val="clear" w:color="auto" w:fill="EBF3FB"/>
            <w:vAlign w:val="top"/>
          </w:tcPr>
          <w:p>
            <w:r>
              <w:rPr>
                <w:b w:val="0"/>
                <w:sz w:val="17"/>
              </w:rPr>
              <w:t>Percentile rank</w:t>
            </w:r>
          </w:p>
        </w:tc>
        <w:tc>
          <w:tcPr>
            <w:tcW w:type="dxa" w:w="1368"/>
            <w:shd w:val="clear" w:color="auto" w:fill="EBF3FB"/>
            <w:vAlign w:val="top"/>
          </w:tcPr>
          <w:p>
            <w:r>
              <w:rPr>
                <w:b w:val="0"/>
                <w:sz w:val="17"/>
              </w:rPr>
              <w:t>1.0–5.0 rating</w:t>
            </w:r>
          </w:p>
        </w:tc>
        <w:tc>
          <w:tcPr>
            <w:tcW w:type="dxa" w:w="1296"/>
            <w:shd w:val="clear" w:color="auto" w:fill="EBF3FB"/>
            <w:vAlign w:val="top"/>
          </w:tcPr>
          <w:p>
            <w:r>
              <w:rPr>
                <w:b w:val="0"/>
                <w:sz w:val="17"/>
              </w:rPr>
              <w:t>1–10 AI Score</w:t>
            </w:r>
          </w:p>
        </w:tc>
        <w:tc>
          <w:tcPr>
            <w:tcW w:type="dxa" w:w="1296"/>
            <w:shd w:val="clear" w:color="auto" w:fill="EBF3FB"/>
            <w:vAlign w:val="top"/>
          </w:tcPr>
          <w:p>
            <w:r>
              <w:rPr>
                <w:b w:val="0"/>
                <w:sz w:val="17"/>
              </w:rPr>
              <w:t>Pattern signal + trend direction</w:t>
            </w:r>
          </w:p>
        </w:tc>
        <w:tc>
          <w:tcPr>
            <w:tcW w:type="dxa" w:w="1728"/>
            <w:shd w:val="clear" w:color="auto" w:fill="EBF3FB"/>
            <w:vAlign w:val="top"/>
          </w:tcPr>
          <w:p>
            <w:r>
              <w:rPr>
                <w:b w:val="0"/>
                <w:sz w:val="17"/>
              </w:rPr>
              <w:t>Actual multi-step price forecast (5, 10, 20 days)</w:t>
            </w:r>
          </w:p>
        </w:tc>
      </w:tr>
      <w:tr>
        <w:tc>
          <w:tcPr>
            <w:tcW w:type="dxa" w:w="2232"/>
            <w:vAlign w:val="top"/>
          </w:tcPr>
          <w:p>
            <w:r>
              <w:rPr>
                <w:b/>
                <w:sz w:val="17"/>
              </w:rPr>
              <w:t>Forecast Horizon</w:t>
            </w:r>
          </w:p>
        </w:tc>
        <w:tc>
          <w:tcPr>
            <w:tcW w:type="dxa" w:w="1368"/>
            <w:vAlign w:val="top"/>
          </w:tcPr>
          <w:p>
            <w:r>
              <w:rPr>
                <w:b w:val="0"/>
                <w:sz w:val="17"/>
              </w:rPr>
              <w:t>1D / 3D / 7D / 14D / 1M / 1Y</w:t>
            </w:r>
          </w:p>
        </w:tc>
        <w:tc>
          <w:tcPr>
            <w:tcW w:type="dxa" w:w="1368"/>
            <w:vAlign w:val="top"/>
          </w:tcPr>
          <w:p>
            <w:r>
              <w:rPr>
                <w:b w:val="0"/>
                <w:sz w:val="17"/>
              </w:rPr>
              <w:t>N/A, ranking</w:t>
            </w:r>
          </w:p>
        </w:tc>
        <w:tc>
          <w:tcPr>
            <w:tcW w:type="dxa" w:w="1368"/>
            <w:vAlign w:val="top"/>
          </w:tcPr>
          <w:p>
            <w:r>
              <w:rPr>
                <w:b w:val="0"/>
                <w:sz w:val="17"/>
              </w:rPr>
              <w:t>N/A, ranking</w:t>
            </w:r>
          </w:p>
        </w:tc>
        <w:tc>
          <w:tcPr>
            <w:tcW w:type="dxa" w:w="1296"/>
            <w:vAlign w:val="top"/>
          </w:tcPr>
          <w:p>
            <w:r>
              <w:rPr>
                <w:b w:val="0"/>
                <w:sz w:val="17"/>
              </w:rPr>
              <w:t>Fixed 3-month</w:t>
            </w:r>
          </w:p>
        </w:tc>
        <w:tc>
          <w:tcPr>
            <w:tcW w:type="dxa" w:w="1296"/>
            <w:vAlign w:val="top"/>
          </w:tcPr>
          <w:p>
            <w:r>
              <w:rPr>
                <w:b w:val="0"/>
                <w:sz w:val="17"/>
              </w:rPr>
              <w:t>Fixed 14-day trend</w:t>
            </w:r>
          </w:p>
        </w:tc>
        <w:tc>
          <w:tcPr>
            <w:tcW w:type="dxa" w:w="1728"/>
            <w:vAlign w:val="top"/>
          </w:tcPr>
          <w:p>
            <w:r>
              <w:rPr>
                <w:b w:val="0"/>
                <w:sz w:val="17"/>
              </w:rPr>
              <w:t>Configurable: 5, 10, 20 days</w:t>
            </w:r>
          </w:p>
        </w:tc>
      </w:tr>
      <w:tr>
        <w:tc>
          <w:tcPr>
            <w:tcW w:type="dxa" w:w="2232"/>
            <w:shd w:val="clear" w:color="auto" w:fill="EBF3FB"/>
            <w:vAlign w:val="top"/>
          </w:tcPr>
          <w:p>
            <w:r>
              <w:rPr>
                <w:b/>
                <w:sz w:val="17"/>
              </w:rPr>
              <w:t>Explainability</w:t>
            </w:r>
          </w:p>
        </w:tc>
        <w:tc>
          <w:tcPr>
            <w:tcW w:type="dxa" w:w="1368"/>
            <w:shd w:val="clear" w:color="auto" w:fill="EBF3FB"/>
            <w:vAlign w:val="top"/>
          </w:tcPr>
          <w:p>
            <w:r>
              <w:rPr>
                <w:b w:val="0"/>
                <w:sz w:val="17"/>
              </w:rPr>
              <w:t>Low, signal strength only</w:t>
            </w:r>
          </w:p>
        </w:tc>
        <w:tc>
          <w:tcPr>
            <w:tcW w:type="dxa" w:w="1368"/>
            <w:shd w:val="clear" w:color="auto" w:fill="EBF3FB"/>
            <w:vAlign w:val="top"/>
          </w:tcPr>
          <w:p>
            <w:r>
              <w:rPr>
                <w:b w:val="0"/>
                <w:sz w:val="17"/>
              </w:rPr>
              <w:t>Moderate, factor category</w:t>
            </w:r>
          </w:p>
        </w:tc>
        <w:tc>
          <w:tcPr>
            <w:tcW w:type="dxa" w:w="1368"/>
            <w:shd w:val="clear" w:color="auto" w:fill="EBF3FB"/>
            <w:vAlign w:val="top"/>
          </w:tcPr>
          <w:p>
            <w:r>
              <w:rPr>
                <w:b w:val="0"/>
                <w:sz w:val="17"/>
              </w:rPr>
              <w:t>Moderate, 5 factor grades</w:t>
            </w:r>
          </w:p>
        </w:tc>
        <w:tc>
          <w:tcPr>
            <w:tcW w:type="dxa" w:w="1296"/>
            <w:shd w:val="clear" w:color="auto" w:fill="EBF3FB"/>
            <w:vAlign w:val="top"/>
          </w:tcPr>
          <w:p>
            <w:r>
              <w:rPr>
                <w:b w:val="0"/>
                <w:sz w:val="17"/>
              </w:rPr>
              <w:t>High, XAI driver breakdown</w:t>
            </w:r>
          </w:p>
        </w:tc>
        <w:tc>
          <w:tcPr>
            <w:tcW w:type="dxa" w:w="1296"/>
            <w:shd w:val="clear" w:color="auto" w:fill="EBF3FB"/>
            <w:vAlign w:val="top"/>
          </w:tcPr>
          <w:p>
            <w:r>
              <w:rPr>
                <w:b w:val="0"/>
                <w:sz w:val="17"/>
              </w:rPr>
              <w:t>Low, pattern name + probability</w:t>
            </w:r>
          </w:p>
        </w:tc>
        <w:tc>
          <w:tcPr>
            <w:tcW w:type="dxa" w:w="1728"/>
            <w:shd w:val="clear" w:color="auto" w:fill="EBF3FB"/>
            <w:vAlign w:val="top"/>
          </w:tcPr>
          <w:p>
            <w:r>
              <w:rPr>
                <w:b w:val="0"/>
                <w:sz w:val="17"/>
              </w:rPr>
              <w:t>Moderate, α_t reveals which stream is dominant</w:t>
            </w:r>
          </w:p>
        </w:tc>
      </w:tr>
      <w:tr>
        <w:tc>
          <w:tcPr>
            <w:tcW w:type="dxa" w:w="2232"/>
            <w:vAlign w:val="top"/>
          </w:tcPr>
          <w:p>
            <w:r>
              <w:rPr>
                <w:b/>
                <w:sz w:val="17"/>
              </w:rPr>
              <w:t>Uncertainty Quantification</w:t>
            </w:r>
          </w:p>
        </w:tc>
        <w:tc>
          <w:tcPr>
            <w:tcW w:type="dxa" w:w="1368"/>
            <w:vAlign w:val="top"/>
          </w:tcPr>
          <w:p>
            <w:r>
              <w:rPr>
                <w:b w:val="0"/>
                <w:sz w:val="17"/>
              </w:rPr>
              <w:t>None</w:t>
            </w:r>
          </w:p>
        </w:tc>
        <w:tc>
          <w:tcPr>
            <w:tcW w:type="dxa" w:w="1368"/>
            <w:vAlign w:val="top"/>
          </w:tcPr>
          <w:p>
            <w:r>
              <w:rPr>
                <w:b w:val="0"/>
                <w:sz w:val="17"/>
              </w:rPr>
              <w:t>None</w:t>
            </w:r>
          </w:p>
        </w:tc>
        <w:tc>
          <w:tcPr>
            <w:tcW w:type="dxa" w:w="1368"/>
            <w:vAlign w:val="top"/>
          </w:tcPr>
          <w:p>
            <w:r>
              <w:rPr>
                <w:b w:val="0"/>
                <w:sz w:val="17"/>
              </w:rPr>
              <w:t>None</w:t>
            </w:r>
          </w:p>
        </w:tc>
        <w:tc>
          <w:tcPr>
            <w:tcW w:type="dxa" w:w="1296"/>
            <w:vAlign w:val="top"/>
          </w:tcPr>
          <w:p>
            <w:r>
              <w:rPr>
                <w:b w:val="0"/>
                <w:sz w:val="17"/>
              </w:rPr>
              <w:t>None</w:t>
            </w:r>
          </w:p>
        </w:tc>
        <w:tc>
          <w:tcPr>
            <w:tcW w:type="dxa" w:w="1296"/>
            <w:vAlign w:val="top"/>
          </w:tcPr>
          <w:p>
            <w:r>
              <w:rPr>
                <w:b w:val="0"/>
                <w:sz w:val="17"/>
              </w:rPr>
              <w:t>None</w:t>
            </w:r>
          </w:p>
        </w:tc>
        <w:tc>
          <w:tcPr>
            <w:tcW w:type="dxa" w:w="1728"/>
            <w:vAlign w:val="top"/>
          </w:tcPr>
          <w:p>
            <w:r>
              <w:rPr>
                <w:b w:val="0"/>
                <w:sz w:val="17"/>
              </w:rPr>
              <w:t>α_t as qualitative confidence; conformal intervals planned</w:t>
            </w:r>
          </w:p>
        </w:tc>
      </w:tr>
      <w:tr>
        <w:tc>
          <w:tcPr>
            <w:tcW w:type="dxa" w:w="2232"/>
            <w:shd w:val="clear" w:color="auto" w:fill="EBF3FB"/>
            <w:vAlign w:val="top"/>
          </w:tcPr>
          <w:p>
            <w:r>
              <w:rPr>
                <w:b/>
                <w:sz w:val="17"/>
              </w:rPr>
              <w:t>Training Adaptability</w:t>
            </w:r>
          </w:p>
        </w:tc>
        <w:tc>
          <w:tcPr>
            <w:tcW w:type="dxa" w:w="1368"/>
            <w:shd w:val="clear" w:color="auto" w:fill="EBF3FB"/>
            <w:vAlign w:val="top"/>
          </w:tcPr>
          <w:p>
            <w:r>
              <w:rPr>
                <w:b w:val="0"/>
                <w:sz w:val="17"/>
              </w:rPr>
              <w:t>Periodic, slow to adapt</w:t>
            </w:r>
          </w:p>
        </w:tc>
        <w:tc>
          <w:tcPr>
            <w:tcW w:type="dxa" w:w="1368"/>
            <w:shd w:val="clear" w:color="auto" w:fill="EBF3FB"/>
            <w:vAlign w:val="top"/>
          </w:tcPr>
          <w:p>
            <w:r>
              <w:rPr>
                <w:b w:val="0"/>
                <w:sz w:val="17"/>
              </w:rPr>
              <w:t>Fixed factors</w:t>
            </w:r>
          </w:p>
        </w:tc>
        <w:tc>
          <w:tcPr>
            <w:tcW w:type="dxa" w:w="1368"/>
            <w:shd w:val="clear" w:color="auto" w:fill="EBF3FB"/>
            <w:vAlign w:val="top"/>
          </w:tcPr>
          <w:p>
            <w:r>
              <w:rPr>
                <w:b w:val="0"/>
                <w:sz w:val="17"/>
              </w:rPr>
              <w:t>Periodic, fixed framework</w:t>
            </w:r>
          </w:p>
        </w:tc>
        <w:tc>
          <w:tcPr>
            <w:tcW w:type="dxa" w:w="1296"/>
            <w:shd w:val="clear" w:color="auto" w:fill="EBF3FB"/>
            <w:vAlign w:val="top"/>
          </w:tcPr>
          <w:p>
            <w:r>
              <w:rPr>
                <w:b w:val="0"/>
                <w:sz w:val="17"/>
              </w:rPr>
              <w:t>252-day rolling window</w:t>
            </w:r>
          </w:p>
        </w:tc>
        <w:tc>
          <w:tcPr>
            <w:tcW w:type="dxa" w:w="1296"/>
            <w:shd w:val="clear" w:color="auto" w:fill="EBF3FB"/>
            <w:vAlign w:val="top"/>
          </w:tcPr>
          <w:p>
            <w:r>
              <w:rPr>
                <w:b w:val="0"/>
                <w:sz w:val="17"/>
              </w:rPr>
              <w:t>Fixed pattern library</w:t>
            </w:r>
          </w:p>
        </w:tc>
        <w:tc>
          <w:tcPr>
            <w:tcW w:type="dxa" w:w="1728"/>
            <w:shd w:val="clear" w:color="auto" w:fill="EBF3FB"/>
            <w:vAlign w:val="top"/>
          </w:tcPr>
          <w:p>
            <w:r>
              <w:rPr>
                <w:b w:val="0"/>
                <w:sz w:val="17"/>
              </w:rPr>
              <w:t>Gate reweights daily via backpropagation</w:t>
            </w:r>
          </w:p>
        </w:tc>
      </w:tr>
      <w:tr>
        <w:tc>
          <w:tcPr>
            <w:tcW w:type="dxa" w:w="2232"/>
            <w:vAlign w:val="top"/>
          </w:tcPr>
          <w:p>
            <w:r>
              <w:rPr>
                <w:b/>
                <w:sz w:val="17"/>
              </w:rPr>
              <w:t>Ticker Coverage</w:t>
            </w:r>
          </w:p>
        </w:tc>
        <w:tc>
          <w:tcPr>
            <w:tcW w:type="dxa" w:w="1368"/>
            <w:vAlign w:val="top"/>
          </w:tcPr>
          <w:p>
            <w:r>
              <w:rPr>
                <w:b w:val="0"/>
                <w:sz w:val="17"/>
              </w:rPr>
              <w:t>13,500+ global assets</w:t>
            </w:r>
          </w:p>
        </w:tc>
        <w:tc>
          <w:tcPr>
            <w:tcW w:type="dxa" w:w="1368"/>
            <w:vAlign w:val="top"/>
          </w:tcPr>
          <w:p>
            <w:r>
              <w:rPr>
                <w:b w:val="0"/>
                <w:sz w:val="17"/>
              </w:rPr>
              <w:t>Global, enterprise subscription required</w:t>
            </w:r>
          </w:p>
        </w:tc>
        <w:tc>
          <w:tcPr>
            <w:tcW w:type="dxa" w:w="1368"/>
            <w:vAlign w:val="top"/>
          </w:tcPr>
          <w:p>
            <w:r>
              <w:rPr>
                <w:b w:val="0"/>
                <w:sz w:val="17"/>
              </w:rPr>
              <w:t>5,600 US stocks (analyst-covered only)</w:t>
            </w:r>
          </w:p>
        </w:tc>
        <w:tc>
          <w:tcPr>
            <w:tcW w:type="dxa" w:w="1296"/>
            <w:vAlign w:val="top"/>
          </w:tcPr>
          <w:p>
            <w:r>
              <w:rPr>
                <w:b w:val="0"/>
                <w:sz w:val="17"/>
              </w:rPr>
              <w:t>10,000+ US + European stocks</w:t>
            </w:r>
          </w:p>
        </w:tc>
        <w:tc>
          <w:tcPr>
            <w:tcW w:type="dxa" w:w="1296"/>
            <w:vAlign w:val="top"/>
          </w:tcPr>
          <w:p>
            <w:r>
              <w:rPr>
                <w:b w:val="0"/>
                <w:sz w:val="17"/>
              </w:rPr>
              <w:t>US/international stocks, ETFs, forex, crypto</w:t>
            </w:r>
          </w:p>
        </w:tc>
        <w:tc>
          <w:tcPr>
            <w:tcW w:type="dxa" w:w="1728"/>
            <w:vAlign w:val="top"/>
          </w:tcPr>
          <w:p>
            <w:r>
              <w:rPr>
                <w:b w:val="0"/>
                <w:sz w:val="17"/>
              </w:rPr>
              <w:t>Any ticker via Yahoo Finance</w:t>
            </w:r>
          </w:p>
        </w:tc>
      </w:tr>
      <w:tr>
        <w:tc>
          <w:tcPr>
            <w:tcW w:type="dxa" w:w="2232"/>
            <w:shd w:val="clear" w:color="auto" w:fill="EBF3FB"/>
            <w:vAlign w:val="top"/>
          </w:tcPr>
          <w:p>
            <w:r>
              <w:rPr>
                <w:b/>
                <w:sz w:val="17"/>
              </w:rPr>
              <w:t>Fundamentals Used</w:t>
            </w:r>
          </w:p>
        </w:tc>
        <w:tc>
          <w:tcPr>
            <w:tcW w:type="dxa" w:w="1368"/>
            <w:shd w:val="clear" w:color="auto" w:fill="EBF3FB"/>
            <w:vAlign w:val="top"/>
          </w:tcPr>
          <w:p>
            <w:r>
              <w:rPr>
                <w:b w:val="0"/>
                <w:sz w:val="17"/>
              </w:rPr>
              <w:t>No</w:t>
            </w:r>
          </w:p>
        </w:tc>
        <w:tc>
          <w:tcPr>
            <w:tcW w:type="dxa" w:w="1368"/>
            <w:shd w:val="clear" w:color="auto" w:fill="EBF3FB"/>
            <w:vAlign w:val="top"/>
          </w:tcPr>
          <w:p>
            <w:r>
              <w:rPr>
                <w:b w:val="0"/>
                <w:sz w:val="17"/>
              </w:rPr>
              <w:t>Yes, extensive</w:t>
            </w:r>
          </w:p>
        </w:tc>
        <w:tc>
          <w:tcPr>
            <w:tcW w:type="dxa" w:w="1368"/>
            <w:shd w:val="clear" w:color="auto" w:fill="EBF3FB"/>
            <w:vAlign w:val="top"/>
          </w:tcPr>
          <w:p>
            <w:r>
              <w:rPr>
                <w:b w:val="0"/>
                <w:sz w:val="17"/>
              </w:rPr>
              <w:t>Yes, Value, Growth, Profitability</w:t>
            </w:r>
          </w:p>
        </w:tc>
        <w:tc>
          <w:tcPr>
            <w:tcW w:type="dxa" w:w="1296"/>
            <w:shd w:val="clear" w:color="auto" w:fill="EBF3FB"/>
            <w:vAlign w:val="top"/>
          </w:tcPr>
          <w:p>
            <w:r>
              <w:rPr>
                <w:b w:val="0"/>
                <w:sz w:val="17"/>
              </w:rPr>
              <w:t>Yes, 150+ indicators</w:t>
            </w:r>
          </w:p>
        </w:tc>
        <w:tc>
          <w:tcPr>
            <w:tcW w:type="dxa" w:w="1296"/>
            <w:shd w:val="clear" w:color="auto" w:fill="EBF3FB"/>
            <w:vAlign w:val="top"/>
          </w:tcPr>
          <w:p>
            <w:r>
              <w:rPr>
                <w:b w:val="0"/>
                <w:sz w:val="17"/>
              </w:rPr>
              <w:t>No</w:t>
            </w:r>
          </w:p>
        </w:tc>
        <w:tc>
          <w:tcPr>
            <w:tcW w:type="dxa" w:w="1728"/>
            <w:shd w:val="clear" w:color="auto" w:fill="EBF3FB"/>
            <w:vAlign w:val="top"/>
          </w:tcPr>
          <w:p>
            <w:r>
              <w:rPr>
                <w:b w:val="0"/>
                <w:sz w:val="17"/>
              </w:rPr>
              <w:t>No in base system (planned extension)</w:t>
            </w:r>
          </w:p>
        </w:tc>
      </w:tr>
      <w:tr>
        <w:tc>
          <w:tcPr>
            <w:tcW w:type="dxa" w:w="2232"/>
            <w:vAlign w:val="top"/>
          </w:tcPr>
          <w:p>
            <w:r>
              <w:rPr>
                <w:b/>
                <w:sz w:val="17"/>
              </w:rPr>
              <w:t>Primary Limitation</w:t>
            </w:r>
          </w:p>
        </w:tc>
        <w:tc>
          <w:tcPr>
            <w:tcW w:type="dxa" w:w="1368"/>
            <w:vAlign w:val="top"/>
          </w:tcPr>
          <w:p>
            <w:r>
              <w:rPr>
                <w:b w:val="0"/>
                <w:sz w:val="17"/>
              </w:rPr>
              <w:t>No sentiment; no price forecast; slow adaptation</w:t>
            </w:r>
          </w:p>
        </w:tc>
        <w:tc>
          <w:tcPr>
            <w:tcW w:type="dxa" w:w="1368"/>
            <w:vAlign w:val="top"/>
          </w:tcPr>
          <w:p>
            <w:r>
              <w:rPr>
                <w:b w:val="0"/>
                <w:sz w:val="17"/>
              </w:rPr>
              <w:t>Analyst-lagged; enterprise-only; sentiment not integrated</w:t>
            </w:r>
          </w:p>
        </w:tc>
        <w:tc>
          <w:tcPr>
            <w:tcW w:type="dxa" w:w="1368"/>
            <w:vAlign w:val="top"/>
          </w:tcPr>
          <w:p>
            <w:r>
              <w:rPr>
                <w:b w:val="0"/>
                <w:sz w:val="17"/>
              </w:rPr>
              <w:t>No LLM sentiment; limited coverage; no price forecast</w:t>
            </w:r>
          </w:p>
        </w:tc>
        <w:tc>
          <w:tcPr>
            <w:tcW w:type="dxa" w:w="1296"/>
            <w:vAlign w:val="top"/>
          </w:tcPr>
          <w:p>
            <w:r>
              <w:rPr>
                <w:b w:val="0"/>
                <w:sz w:val="17"/>
              </w:rPr>
              <w:t>Fixed 3-month horizon; lagged proxies; no price forecast</w:t>
            </w:r>
          </w:p>
        </w:tc>
        <w:tc>
          <w:tcPr>
            <w:tcW w:type="dxa" w:w="1296"/>
            <w:vAlign w:val="top"/>
          </w:tcPr>
          <w:p>
            <w:r>
              <w:rPr>
                <w:b w:val="0"/>
                <w:sz w:val="17"/>
              </w:rPr>
              <w:t>Backtesting-only accuracy; no sentiment; crowded signals</w:t>
            </w:r>
          </w:p>
        </w:tc>
        <w:tc>
          <w:tcPr>
            <w:tcW w:type="dxa" w:w="1728"/>
            <w:vAlign w:val="top"/>
          </w:tcPr>
          <w:p>
            <w:r>
              <w:rPr>
                <w:b w:val="0"/>
                <w:sz w:val="17"/>
              </w:rPr>
              <w:t>Gate calibration risk on low-news days</w:t>
            </w:r>
          </w:p>
        </w:tc>
      </w:tr>
    </w:tbl>
    <w:p/>
    <w:p>
      <w:pPr>
        <w:pStyle w:val="Heading2"/>
        <w:spacing w:before="120" w:after="80"/>
      </w:pPr>
      <w:r>
        <w:t>4.7 Gaps Addressed by the Proposed System</w:t>
      </w:r>
    </w:p>
    <w:p>
      <w:pPr>
        <w:spacing w:before="0" w:after="120"/>
        <w:jc w:val="both"/>
      </w:pPr>
      <w:r>
        <w:rPr>
          <w:b w:val="0"/>
          <w:i w:val="0"/>
          <w:sz w:val="22"/>
        </w:rPr>
        <w:t>The comparison exposes six gaps shared across all five tools that the proposed system directly addresses:</w:t>
      </w:r>
    </w:p>
    <w:p>
      <w:pPr>
        <w:spacing w:after="40" w:before="0"/>
        <w:ind w:left="432"/>
      </w:pPr>
      <w:r>
        <w:rPr>
          <w:sz w:val="21"/>
        </w:rPr>
        <w:t>•  Real-time LLM sentiment, all five tools lack live NLP sentiment integrated into the forecasting model. The proposed system feeds FinBERT-classified headlines directly into the prediction pipeline as a live input.</w:t>
      </w:r>
    </w:p>
    <w:p>
      <w:pPr>
        <w:spacing w:after="40" w:before="0"/>
        <w:ind w:left="432"/>
      </w:pPr>
      <w:r>
        <w:rPr>
          <w:sz w:val="21"/>
        </w:rPr>
        <w:t>•  Adaptive signal weighting, every tool applies fixed weights, treating all feature types as equally important at all times. The entropy gate is the only mechanism across all five tools, and across all seven reviewed papers, that dynamically adjusts sentiment versus technical weighting based on the current information environment.</w:t>
      </w:r>
    </w:p>
    <w:p>
      <w:pPr>
        <w:spacing w:after="40" w:before="0"/>
        <w:ind w:left="432"/>
      </w:pPr>
      <w:r>
        <w:rPr>
          <w:sz w:val="21"/>
        </w:rPr>
        <w:t>•  Regime detection, none of the five tools can detect whether the market is news-driven or technically driven. Shannon entropy provides a principled, computationally lightweight regime signal without requiring manual labels or a separate classifier.</w:t>
      </w:r>
    </w:p>
    <w:p>
      <w:pPr>
        <w:spacing w:after="40" w:before="0"/>
        <w:ind w:left="432"/>
      </w:pPr>
      <w:r>
        <w:rPr>
          <w:sz w:val="21"/>
        </w:rPr>
        <w:t>•  Actual price forecast, all tools output rankings, directional signals, or probability scores. The proposed system is alone in outputting predicted closing prices at 5, 10, and 20 trading days, the information required to size positions and set risk parameters.</w:t>
      </w:r>
    </w:p>
    <w:p>
      <w:pPr>
        <w:spacing w:after="40" w:before="0"/>
        <w:ind w:left="432"/>
      </w:pPr>
      <w:r>
        <w:rPr>
          <w:sz w:val="21"/>
        </w:rPr>
        <w:t>•  Uncertainty quantification, every tool outputs a single number with no confidence measure. The gate weight α_t exposes which signal stream is trusted, providing qualitative confidence before formal prediction intervals are added.</w:t>
      </w:r>
    </w:p>
    <w:p>
      <w:pPr>
        <w:spacing w:after="200" w:before="0"/>
        <w:ind w:left="432"/>
      </w:pPr>
      <w:r>
        <w:rPr>
          <w:sz w:val="21"/>
        </w:rPr>
        <w:t>•  Slow regime adaptation, periodic retraining (I Know First, Tickeron), fixed factor frameworks (StarMine, Seeking Alpha Quant), and short rolling windows (Danelfin) all limit responsiveness. The entropy gate reweights contributions daily through backpropagation without the cost of full retraining.</w:t>
      </w:r>
    </w:p>
    <w:p>
      <w:pPr>
        <w:pStyle w:val="Heading1"/>
        <w:spacing w:before="200" w:after="80"/>
      </w:pPr>
      <w:r>
        <w:t>References</w:t>
      </w:r>
    </w:p>
    <w:p>
      <w:pPr>
        <w:spacing w:after="80"/>
        <w:ind w:left="576" w:hanging="576"/>
      </w:pPr>
      <w:r>
        <w:rPr>
          <w:sz w:val="20"/>
        </w:rPr>
        <w:t>Wang, Y., &amp; Lera, S. C. (2025). Meta-learning for return prediction in shifting market regimes. Journal of Financial Markets, 101042. https://doi.org/10.1016/j.finmar.2025.101042</w:t>
      </w:r>
    </w:p>
    <w:p>
      <w:pPr>
        <w:spacing w:after="80"/>
        <w:ind w:left="576" w:hanging="576"/>
      </w:pPr>
      <w:r>
        <w:rPr>
          <w:sz w:val="20"/>
        </w:rPr>
        <w:t>Prata, M., Masi, G., Berti, L., Arrigoni, V., Coletta, A., Cannistraci, I., ... &amp; Bartolini, N. (2024). LOB-based deep learning models for stock price trend prediction: a benchmark study. Artificial Intelligence Review, 57(5), 116. https://doi.org/10.1007/s10462-024-10715-4</w:t>
      </w:r>
    </w:p>
    <w:p>
      <w:pPr>
        <w:spacing w:after="80"/>
        <w:ind w:left="576" w:hanging="576"/>
      </w:pPr>
      <w:r>
        <w:rPr>
          <w:sz w:val="20"/>
        </w:rPr>
        <w:t>I Know First. (2025). AI-powered stock forecasting algorithm. Retrieved from https://iknowfirst.com/stock-forecast-algorithm</w:t>
      </w:r>
    </w:p>
    <w:p>
      <w:pPr>
        <w:spacing w:after="80"/>
        <w:ind w:left="576" w:hanging="576"/>
      </w:pPr>
      <w:r>
        <w:rPr>
          <w:sz w:val="20"/>
        </w:rPr>
        <w:t>LSEG (London Stock Exchange Group). (2025). StarMine financial modelling. Retrieved from https://www.lseg.com/en/data-analytics/products/starmine-financial-modelling</w:t>
      </w:r>
    </w:p>
    <w:p>
      <w:pPr>
        <w:spacing w:after="80"/>
        <w:ind w:left="576" w:hanging="576"/>
      </w:pPr>
      <w:r>
        <w:rPr>
          <w:sz w:val="20"/>
        </w:rPr>
        <w:t>Seeking Alpha. (2025). Quant ratings: definition and methodology. Retrieved from https://seekingalpha.com/education/quant-ratings</w:t>
      </w:r>
    </w:p>
    <w:p>
      <w:pPr>
        <w:spacing w:after="80"/>
        <w:ind w:left="576" w:hanging="576"/>
      </w:pPr>
      <w:r>
        <w:rPr>
          <w:sz w:val="20"/>
        </w:rPr>
        <w:t>Danelfin. (2025). How it works: AI score methodology. Retrieved from https://danelfin.com/how-it-works</w:t>
      </w:r>
    </w:p>
    <w:p>
      <w:pPr>
        <w:spacing w:after="80"/>
        <w:ind w:left="576" w:hanging="576"/>
      </w:pPr>
      <w:r>
        <w:rPr>
          <w:sz w:val="20"/>
        </w:rPr>
        <w:t>Tickeron. (2025). AI trend prediction engine. Retrieved from https://tickeron.com/trading-investing-101/forecast-the-future-aipowered-predictions-14day-free-trial/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