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Teaching Statement</w:t>
      </w:r>
    </w:p>
    <w:p w:rsidR="00000000" w:rsidDel="00000000" w:rsidP="00000000" w:rsidRDefault="00000000" w:rsidRPr="00000000" w14:paraId="00000002">
      <w:pPr>
        <w:widowControl w:val="0"/>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firstLine="720"/>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As a graduate student at the MIT Sloan School of Management, I was a teaching assistant for three Masters in Finance classes (15.415: Foundations of Modern Finance taught by Professors Leonid Kogan and Jiang Wang and 15.450: Analytics of Finance and 15.457: Advanced Analytics of Finance taught by Professor Hui Chen) and one executive Masters in Business Administration class (15.S24: Global Financial Markets taught by Professor Adrien Verdelhan). In my latest evaluations for the master's classes, my average ratings were 6.0+ out of 7, where 7 corresponds to the highest level of excellent. </w:t>
      </w:r>
    </w:p>
    <w:p w:rsidR="00000000" w:rsidDel="00000000" w:rsidP="00000000" w:rsidRDefault="00000000" w:rsidRPr="00000000" w14:paraId="00000005">
      <w:pPr>
        <w:widowControl w:val="0"/>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firstLine="720"/>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In these classes, in addition to teaching, I developed new recitation materials to help facilitate learning through three methods–analytic problem sets, empirical exercises, and case studies–with a focus on contextualizing new topics within the course's big questions and ideas. Some of these materials were used to develop MIT’s online MicroMasters Program in Finance.</w:t>
      </w:r>
    </w:p>
    <w:p w:rsidR="00000000" w:rsidDel="00000000" w:rsidP="00000000" w:rsidRDefault="00000000" w:rsidRPr="00000000" w14:paraId="00000006">
      <w:pPr>
        <w:widowControl w:val="0"/>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firstLine="720"/>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I would be prepared to teach corporate and investment finance at the graduate, master's, or undergraduate level. As a teacher, my objective would be to help students develop the skills to apply modern finance theory and analytics to evaluate investment ideas and decisions in accessible ways. The most rewarding moments in teaching are when students express their appreciation for the beauty of a problem approach. Helping students to get to this point, regardless of where they are in their academic journeys, is the cornerstone to my approach to teaching. For example, to help students from non-finance backgrounds, I open recitations with a hypothetical case study and discussion to anchor the learning of and practice of a new method to the problem of evaluating investments; to aid students with less coding experience, I include follow-along codebooks with code snippets and nudges to ensure students are spending adequate time learning how to analytically break down and solve a problem; to aid students with less math experience, I often start my recitations reviewing the relevant mathematical tools in probability and linear algebra. In future teaching, I hope to develop and refine existing and new methods to improve accessibility to finance.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widowControl w:val="0"/>
      <w:spacing w:line="228.48000526428223" w:lineRule="auto"/>
      <w:ind w:left="8639.862670898438" w:right="60.391845703125" w:hanging="8624.051513671875"/>
      <w:rPr>
        <w:rFonts w:ascii="Times New Roman" w:cs="Times New Roman" w:eastAsia="Times New Roman" w:hAnsi="Times New Roman"/>
        <w:sz w:val="24"/>
        <w:szCs w:val="24"/>
      </w:rPr>
    </w:pPr>
    <w:r w:rsidDel="00000000" w:rsidR="00000000" w:rsidRPr="00000000">
      <w:rPr>
        <w:rFonts w:ascii="Times" w:cs="Times" w:eastAsia="Times" w:hAnsi="Times"/>
        <w:sz w:val="20.15999984741211"/>
        <w:szCs w:val="20.15999984741211"/>
        <w:rtl w:val="0"/>
      </w:rPr>
      <w:t xml:space="preserve">Joanne Im - MIT Sloan - Nov 2023</w:t>
    </w:r>
    <w:r w:rsidDel="00000000" w:rsidR="00000000" w:rsidRPr="00000000">
      <w:rPr>
        <w:rtl w:val="0"/>
      </w:rPr>
    </w:r>
  </w:p>
  <w:p w:rsidR="00000000" w:rsidDel="00000000" w:rsidP="00000000" w:rsidRDefault="00000000" w:rsidRPr="00000000" w14:paraId="00000008">
    <w:pPr>
      <w:widowControl w:val="0"/>
      <w:spacing w:line="228.48000526428223" w:lineRule="auto"/>
      <w:ind w:left="8639.862670898438" w:right="60.391845703125" w:hanging="8624.051513671875"/>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