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CSU11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-Autenticar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(Risco Baixo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Autenticar no sistema para usar funcionalidades disponíveis para o seu perfil.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de autenticação na tela principal do sistema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Tela_007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Sistema exibe tela para autenticação (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Tela_008</w:t>
            </w:r>
            <w:r w:rsidDel="00000000" w:rsidR="00000000" w:rsidRPr="00000000">
              <w:rPr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284" w:hanging="284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e-mail e senha e pressiona botão "Entrar".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verifica validade do e-mail e senha e caso opção seja: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 uma pessoa física: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exibe funcionalidades disponíveis para o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 uma empresa: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exibe funcionalidades disponíveis para o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E-mail ou senha do usuário inválidas. Sistema deve informar a mensagem: “E-mail/Senha do usuário inválidas” e retorna para ao passo 3.</w:t>
            </w:r>
          </w:p>
        </w:tc>
      </w:tr>
    </w:tbl>
    <w:p w:rsidR="00000000" w:rsidDel="00000000" w:rsidP="00000000" w:rsidRDefault="00000000" w:rsidRPr="00000000" w14:paraId="0000002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Atualizando o fluxo principal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f7QJk+UWbmYDj4YIW7fVO1WxA==">AMUW2mW0lAy8vXjxDfH1bcB8cE+fAdHiMHaApYhFQoOErRRWR0NvASAyrB/Be8WwwA1YUaQ7WsDXhXaeTtKWn4DSiqrbCnsR0F7GPYnVFuiQcKX35/0KguA=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