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rPr/>
        <w:t xml:space="preserve">2. Paràmetres de l'emmagatzematge: rendiment, disponibilitat i accessibilitat</w:t>
      </w:r>
    </w:p>
    <w:p>
      <w:pPr>
        <w:spacing w:after="180" w:line="300"/>
        <w:jc w:val="both"/>
      </w:pPr>
      <w:r>
        <w:rPr>
          <w:sz w:val="22"/>
          <w:szCs w:val="22"/>
        </w:rPr>
        <w:t xml:space="preserve">Abans de triar un sistema d'emmagatzematge, cal saber què li demanem. Hi ha tres paràmetres bàsics:</w:t>
      </w:r>
    </w:p>
    <w:p>
      <w:pPr>
        <w:pStyle w:val="ListParagraph"/>
        <w:numPr>
          <w:ilvl w:val="0"/>
          <w:numId w:val="1"/>
        </w:numPr>
        <w:spacing w:after="100" w:line="280"/>
      </w:pPr>
      <w:r>
        <w:rPr>
          <w:b/>
          <w:sz w:val="22"/>
          <w:szCs w:val="22"/>
        </w:rPr>
        <w:t xml:space="preserve">Rendiment: </w:t>
      </w:r>
      <w:r>
        <w:rPr>
          <w:sz w:val="22"/>
          <w:szCs w:val="22"/>
        </w:rPr>
        <w:t xml:space="preserve">que llegeixi i escrigui les dades ràpidament. Es mesura amb la latència, les IOPS i el throughput.</w:t>
      </w:r>
    </w:p>
    <w:p>
      <w:pPr>
        <w:pStyle w:val="ListParagraph"/>
        <w:numPr>
          <w:ilvl w:val="0"/>
          <w:numId w:val="1"/>
        </w:numPr>
        <w:spacing w:after="100" w:line="280"/>
      </w:pPr>
      <w:r>
        <w:rPr>
          <w:b/>
          <w:sz w:val="22"/>
          <w:szCs w:val="22"/>
        </w:rPr>
        <w:t xml:space="preserve">Disponibilitat: </w:t>
      </w:r>
      <w:r>
        <w:rPr>
          <w:sz w:val="22"/>
          <w:szCs w:val="22"/>
        </w:rPr>
        <w:t xml:space="preserve">que el sistema continuï funcionant encara que alguna peça falli. S'aconsegueix amb redundància (RAID, sistemes duplicats), protecció elèctrica (SAI) i monitoratge dels discos.</w:t>
      </w:r>
    </w:p>
    <w:p>
      <w:pPr>
        <w:pStyle w:val="ListParagraph"/>
        <w:numPr>
          <w:ilvl w:val="0"/>
          <w:numId w:val="1"/>
        </w:numPr>
        <w:spacing w:after="100" w:line="280"/>
      </w:pPr>
      <w:r>
        <w:rPr>
          <w:b/>
          <w:sz w:val="22"/>
          <w:szCs w:val="22"/>
        </w:rPr>
        <w:t xml:space="preserve">Accessibilitat: </w:t>
      </w:r>
      <w:r>
        <w:rPr>
          <w:sz w:val="22"/>
          <w:szCs w:val="22"/>
        </w:rPr>
        <w:t xml:space="preserve">que els usuaris puguin arribar a les dades quan les necessiten, de manera efectiva i segura: disc ben muntat, permisos correctes i sistema de fitxers sense errors. Un disc que funciona perfectament però està mal muntat no és accessible per a ningú.</w:t>
      </w:r>
    </w:p>
    <w:p>
      <w:pPr>
        <w:pStyle w:val="Heading2"/>
        <w:spacing w:after="140" w:before="260"/>
      </w:pPr>
      <w:r>
        <w:rPr/>
        <w:t xml:space="preserve">2.1. Com es mesura el rendiment</w:t>
      </w:r>
    </w:p>
    <w:p>
      <w:pPr>
        <w:pStyle w:val="ListParagraph"/>
        <w:numPr>
          <w:ilvl w:val="0"/>
          <w:numId w:val="1"/>
        </w:numPr>
        <w:spacing w:after="100" w:line="280"/>
      </w:pPr>
      <w:r>
        <w:rPr>
          <w:b/>
          <w:sz w:val="22"/>
          <w:szCs w:val="22"/>
        </w:rPr>
        <w:t xml:space="preserve">Latència: </w:t>
      </w:r>
      <w:r>
        <w:rPr>
          <w:sz w:val="22"/>
          <w:szCs w:val="22"/>
        </w:rPr>
        <w:t xml:space="preserve">temps que triga el disc a respondre una operació. Es mesura en mil·lisegons (ms) o microsegons (µs): com menys, millor.</w:t>
      </w:r>
    </w:p>
    <w:p>
      <w:pPr>
        <w:pStyle w:val="ListParagraph"/>
        <w:numPr>
          <w:ilvl w:val="0"/>
          <w:numId w:val="1"/>
        </w:numPr>
        <w:spacing w:after="100" w:line="280"/>
      </w:pPr>
      <w:r>
        <w:rPr>
          <w:b/>
          <w:sz w:val="22"/>
          <w:szCs w:val="22"/>
        </w:rPr>
        <w:t xml:space="preserve">IOPS (operacions d'entrada/sortida per segon): </w:t>
      </w:r>
      <w:r>
        <w:rPr>
          <w:sz w:val="22"/>
          <w:szCs w:val="22"/>
        </w:rPr>
        <w:t xml:space="preserve">nombre d'operacions de lectura o escriptura que pot fer en un segon. És clau quan hi ha moltes peticions petites i aleatòries, com en un sistema operatiu o una base de dades.</w:t>
      </w:r>
    </w:p>
    <w:p>
      <w:pPr>
        <w:pStyle w:val="ListParagraph"/>
        <w:numPr>
          <w:ilvl w:val="0"/>
          <w:numId w:val="1"/>
        </w:numPr>
        <w:spacing w:after="100" w:line="280"/>
      </w:pPr>
      <w:r>
        <w:rPr>
          <w:b/>
          <w:sz w:val="22"/>
          <w:szCs w:val="22"/>
        </w:rPr>
        <w:t xml:space="preserve">Throughput (velocitat de transferència): </w:t>
      </w:r>
      <w:r>
        <w:rPr>
          <w:sz w:val="22"/>
          <w:szCs w:val="22"/>
        </w:rPr>
        <w:t xml:space="preserve">quantitat de dades transferides per segon, en MB/s o GB/s. És clau amb fitxers grans i seqüencials, com un vídeo o una còpia de seguretat.</w:t>
      </w:r>
    </w:p>
    <w:p>
      <w:pPr>
        <w:spacing w:after="180" w:line="300"/>
        <w:jc w:val="both"/>
      </w:pPr>
      <w:r>
        <w:rPr>
          <w:sz w:val="22"/>
          <w:szCs w:val="22"/>
        </w:rPr>
        <w:t xml:space="preserve">Important: Un disc pot tenir un bon throughput i poques IOPS: copiar una pel·lícula (accés seqüencial) no costa el mateix que obrir milers de fitxers petits (accés aleatori). Per això un HDD pot copiar fitxers grans a una velocitat acceptable, però fa que l'arrencada del sistema operatiu sigui lenta.</w:t>
      </w:r>
    </w:p>
    <w:p>
      <w:pPr>
        <w:pStyle w:val="Heading2"/>
        <w:spacing w:after="140" w:before="260"/>
      </w:pPr>
      <w:r>
        <w:rPr/>
        <w:t xml:space="preserve">2.2. HDD, SSD i NVMe en xifres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120"/>
        <w:gridCol w:w="120"/>
        <w:gridCol w:w="120"/>
        <w:gridCol w:w="120"/>
      </w:tblGrid>
      <w:tr>
        <w:trPr>
          <w:cantSplit/>
        </w:trPr>
        <w:tc>
          <w:tcPr>
            <w:tcW w:type="dxa" w:w="120"/>
            <w:shd w:fill="16242E" w:val="clear"/>
          </w:tcPr>
          <w:p>
            <w:r>
              <w:rPr>
                <w:b/>
                <w:bCs/>
                <w:color w:val="FFFFFF"/>
                <w:sz w:val="20"/>
                <w:szCs w:val="20"/>
              </w:rPr>
              <w:t xml:space="preserve"/>
            </w:r>
          </w:p>
        </w:tc>
        <w:tc>
          <w:tcPr>
            <w:tcW w:type="dxa" w:w="120"/>
            <w:shd w:fill="16242E" w:val="clear"/>
          </w:tcPr>
          <w:p>
            <w:r>
              <w:rPr>
                <w:b/>
                <w:bCs/>
                <w:color w:val="FFFFFF"/>
                <w:sz w:val="20"/>
                <w:szCs w:val="20"/>
              </w:rPr>
              <w:t xml:space="preserve">HDD (7.200 rpm)</w:t>
            </w:r>
          </w:p>
        </w:tc>
        <w:tc>
          <w:tcPr>
            <w:tcW w:type="dxa" w:w="120"/>
            <w:shd w:fill="16242E" w:val="clear"/>
          </w:tcPr>
          <w:p>
            <w:r>
              <w:rPr>
                <w:b/>
                <w:bCs/>
                <w:color w:val="FFFFFF"/>
                <w:sz w:val="20"/>
                <w:szCs w:val="20"/>
              </w:rPr>
              <w:t xml:space="preserve">SSD SATA</w:t>
            </w:r>
          </w:p>
        </w:tc>
        <w:tc>
          <w:tcPr>
            <w:tcW w:type="dxa" w:w="120"/>
            <w:shd w:fill="16242E" w:val="clear"/>
          </w:tcPr>
          <w:p>
            <w:r>
              <w:rPr>
                <w:b/>
                <w:bCs/>
                <w:color w:val="FFFFFF"/>
                <w:sz w:val="20"/>
                <w:szCs w:val="20"/>
              </w:rPr>
              <w:t xml:space="preserve">SSD NVMe (M.2)</w:t>
            </w:r>
          </w:p>
        </w:tc>
        <w:tc>
          <w:tcPr>
            <w:tcW w:type="dxa" w:w="120"/>
            <w:shd w:fill="16242E" w:val="clear"/>
          </w:tcPr>
          <w:p>
            <w:r>
              <w:rPr>
                <w:b/>
                <w:bCs/>
                <w:color w:val="FFFFFF"/>
                <w:sz w:val="20"/>
                <w:szCs w:val="20"/>
              </w:rPr>
              <w:t xml:space="preserve">Llapis USB / SD</w:t>
            </w:r>
          </w:p>
        </w:tc>
      </w:tr>
      <w:tr>
        <w:trPr>
          <w:cantSplit/>
        </w:trPr>
        <w:tc>
          <w:tcPr>
            <w:tcW w:type="dxa" w:w="120"/>
            <w:shd w:fill="FFFFFF" w:val="clear"/>
          </w:tcPr>
          <w:p>
            <w:r>
              <w:rPr>
                <w:b w:val="false"/>
                <w:bCs w:val="false"/>
                <w:color w:val="000000"/>
                <w:sz w:val="20"/>
                <w:szCs w:val="20"/>
              </w:rPr>
              <w:t xml:space="preserve">Latència</w:t>
            </w:r>
          </w:p>
        </w:tc>
        <w:tc>
          <w:tcPr>
            <w:tcW w:type="dxa" w:w="120"/>
            <w:shd w:fill="FFFFFF" w:val="clear"/>
          </w:tcPr>
          <w:p>
            <w:r>
              <w:rPr>
                <w:b w:val="false"/>
                <w:bCs w:val="false"/>
                <w:color w:val="000000"/>
                <w:sz w:val="20"/>
                <w:szCs w:val="20"/>
              </w:rPr>
              <w:t xml:space="preserve">5–10 ms</w:t>
            </w:r>
          </w:p>
        </w:tc>
        <w:tc>
          <w:tcPr>
            <w:tcW w:type="dxa" w:w="120"/>
            <w:shd w:fill="FFFFFF" w:val="clear"/>
          </w:tcPr>
          <w:p>
            <w:r>
              <w:rPr>
                <w:b w:val="false"/>
                <w:bCs w:val="false"/>
                <w:color w:val="000000"/>
                <w:sz w:val="20"/>
                <w:szCs w:val="20"/>
              </w:rPr>
              <w:t xml:space="preserve">≈ 0,1 ms</w:t>
            </w:r>
          </w:p>
        </w:tc>
        <w:tc>
          <w:tcPr>
            <w:tcW w:type="dxa" w:w="120"/>
            <w:shd w:fill="FFFFFF" w:val="clear"/>
          </w:tcPr>
          <w:p>
            <w:r>
              <w:rPr>
                <w:b w:val="false"/>
                <w:bCs w:val="false"/>
                <w:color w:val="000000"/>
                <w:sz w:val="20"/>
                <w:szCs w:val="20"/>
              </w:rPr>
              <w:t xml:space="preserve">≈ 0,02–0,1 ms</w:t>
            </w:r>
          </w:p>
        </w:tc>
        <w:tc>
          <w:tcPr>
            <w:tcW w:type="dxa" w:w="120"/>
            <w:shd w:fill="FFFFFF" w:val="clear"/>
          </w:tcPr>
          <w:p>
            <w:r>
              <w:rPr>
                <w:b w:val="false"/>
                <w:bCs w:val="false"/>
                <w:color w:val="000000"/>
                <w:sz w:val="20"/>
                <w:szCs w:val="20"/>
              </w:rPr>
              <w:t xml:space="preserve">Molt variable</w:t>
            </w:r>
          </w:p>
        </w:tc>
      </w:tr>
      <w:tr>
        <w:trPr>
          <w:cantSplit/>
        </w:trPr>
        <w:tc>
          <w:tcPr>
            <w:tcW w:type="dxa" w:w="120"/>
            <w:shd w:fill="FFFFFF" w:val="clear"/>
          </w:tcPr>
          <w:p>
            <w:r>
              <w:rPr>
                <w:b w:val="false"/>
                <w:bCs w:val="false"/>
                <w:color w:val="000000"/>
                <w:sz w:val="20"/>
                <w:szCs w:val="20"/>
              </w:rPr>
              <w:t xml:space="preserve">IOPS (aleatòries)</w:t>
            </w:r>
          </w:p>
        </w:tc>
        <w:tc>
          <w:tcPr>
            <w:tcW w:type="dxa" w:w="120"/>
            <w:shd w:fill="FFFFFF" w:val="clear"/>
          </w:tcPr>
          <w:p>
            <w:r>
              <w:rPr>
                <w:b w:val="false"/>
                <w:bCs w:val="false"/>
                <w:color w:val="000000"/>
                <w:sz w:val="20"/>
                <w:szCs w:val="20"/>
              </w:rPr>
              <w:t xml:space="preserve">75–200</w:t>
            </w:r>
          </w:p>
        </w:tc>
        <w:tc>
          <w:tcPr>
            <w:tcW w:type="dxa" w:w="120"/>
            <w:shd w:fill="FFFFFF" w:val="clear"/>
          </w:tcPr>
          <w:p>
            <w:r>
              <w:rPr>
                <w:b w:val="false"/>
                <w:bCs w:val="false"/>
                <w:color w:val="000000"/>
                <w:sz w:val="20"/>
                <w:szCs w:val="20"/>
              </w:rPr>
              <w:t xml:space="preserve">Desenes de milers</w:t>
            </w:r>
          </w:p>
        </w:tc>
        <w:tc>
          <w:tcPr>
            <w:tcW w:type="dxa" w:w="120"/>
            <w:shd w:fill="FFFFFF" w:val="clear"/>
          </w:tcPr>
          <w:p>
            <w:r>
              <w:rPr>
                <w:b w:val="false"/>
                <w:bCs w:val="false"/>
                <w:color w:val="000000"/>
                <w:sz w:val="20"/>
                <w:szCs w:val="20"/>
              </w:rPr>
              <w:t xml:space="preserve">Centenars de milers</w:t>
            </w:r>
          </w:p>
        </w:tc>
        <w:tc>
          <w:tcPr>
            <w:tcW w:type="dxa" w:w="120"/>
            <w:shd w:fill="FFFFFF" w:val="clear"/>
          </w:tcPr>
          <w:p>
            <w:r>
              <w:rPr>
                <w:b w:val="false"/>
                <w:bCs w:val="false"/>
                <w:color w:val="000000"/>
                <w:sz w:val="20"/>
                <w:szCs w:val="20"/>
              </w:rPr>
              <w:t xml:space="preserve">Centenars o pocs milers</w:t>
            </w:r>
          </w:p>
        </w:tc>
      </w:tr>
      <w:tr>
        <w:trPr>
          <w:cantSplit/>
        </w:trPr>
        <w:tc>
          <w:tcPr>
            <w:tcW w:type="dxa" w:w="120"/>
            <w:shd w:fill="FFFFFF" w:val="clear"/>
          </w:tcPr>
          <w:p>
            <w:r>
              <w:rPr>
                <w:b w:val="false"/>
                <w:bCs w:val="false"/>
                <w:color w:val="000000"/>
                <w:sz w:val="20"/>
                <w:szCs w:val="20"/>
              </w:rPr>
              <w:t xml:space="preserve">Throughput</w:t>
            </w:r>
          </w:p>
        </w:tc>
        <w:tc>
          <w:tcPr>
            <w:tcW w:type="dxa" w:w="120"/>
            <w:shd w:fill="FFFFFF" w:val="clear"/>
          </w:tcPr>
          <w:p>
            <w:r>
              <w:rPr>
                <w:b w:val="false"/>
                <w:bCs w:val="false"/>
                <w:color w:val="000000"/>
                <w:sz w:val="20"/>
                <w:szCs w:val="20"/>
              </w:rPr>
              <w:t xml:space="preserve">100–250 MB/s</w:t>
            </w:r>
          </w:p>
        </w:tc>
        <w:tc>
          <w:tcPr>
            <w:tcW w:type="dxa" w:w="120"/>
            <w:shd w:fill="FFFFFF" w:val="clear"/>
          </w:tcPr>
          <w:p>
            <w:r>
              <w:rPr>
                <w:b w:val="false"/>
                <w:bCs w:val="false"/>
                <w:color w:val="000000"/>
                <w:sz w:val="20"/>
                <w:szCs w:val="20"/>
              </w:rPr>
              <w:t xml:space="preserve">Fins a ≈ 550 MB/s</w:t>
            </w:r>
          </w:p>
        </w:tc>
        <w:tc>
          <w:tcPr>
            <w:tcW w:type="dxa" w:w="120"/>
            <w:shd w:fill="FFFFFF" w:val="clear"/>
          </w:tcPr>
          <w:p>
            <w:r>
              <w:rPr>
                <w:b w:val="false"/>
                <w:bCs w:val="false"/>
                <w:color w:val="000000"/>
                <w:sz w:val="20"/>
                <w:szCs w:val="20"/>
              </w:rPr>
              <w:t xml:space="preserve">3.000–14.000 MB/s</w:t>
            </w:r>
          </w:p>
        </w:tc>
        <w:tc>
          <w:tcPr>
            <w:tcW w:type="dxa" w:w="120"/>
            <w:shd w:fill="FFFFFF" w:val="clear"/>
          </w:tcPr>
          <w:p>
            <w:r>
              <w:rPr>
                <w:b w:val="false"/>
                <w:bCs w:val="false"/>
                <w:color w:val="000000"/>
                <w:sz w:val="20"/>
                <w:szCs w:val="20"/>
              </w:rPr>
              <w:t xml:space="preserve">20–400 MB/s</w:t>
            </w:r>
          </w:p>
        </w:tc>
      </w:tr>
      <w:tr>
        <w:trPr>
          <w:cantSplit/>
        </w:trPr>
        <w:tc>
          <w:tcPr>
            <w:tcW w:type="dxa" w:w="120"/>
            <w:shd w:fill="FFFFFF" w:val="clear"/>
          </w:tcPr>
          <w:p>
            <w:r>
              <w:rPr>
                <w:b w:val="false"/>
                <w:bCs w:val="false"/>
                <w:color w:val="000000"/>
                <w:sz w:val="20"/>
                <w:szCs w:val="20"/>
              </w:rPr>
              <w:t xml:space="preserve">Connexió</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PCIe</w:t>
            </w:r>
          </w:p>
        </w:tc>
        <w:tc>
          <w:tcPr>
            <w:tcW w:type="dxa" w:w="120"/>
            <w:shd w:fill="FFFFFF" w:val="clear"/>
          </w:tcPr>
          <w:p>
            <w:r>
              <w:rPr>
                <w:b w:val="false"/>
                <w:bCs w:val="false"/>
                <w:color w:val="000000"/>
                <w:sz w:val="20"/>
                <w:szCs w:val="20"/>
              </w:rPr>
              <w:t xml:space="preserve">USB o lector de targetes</w:t>
            </w:r>
          </w:p>
        </w:tc>
      </w:tr>
      <w:tr>
        <w:trPr>
          <w:cantSplit/>
        </w:trPr>
        <w:tc>
          <w:tcPr>
            <w:tcW w:type="dxa" w:w="120"/>
            <w:shd w:fill="FFFFFF" w:val="clear"/>
          </w:tcPr>
          <w:p>
            <w:r>
              <w:rPr>
                <w:b w:val="false"/>
                <w:bCs w:val="false"/>
                <w:color w:val="000000"/>
                <w:sz w:val="20"/>
                <w:szCs w:val="20"/>
              </w:rPr>
              <w:t xml:space="preserve">Cost per GB</w:t>
            </w:r>
          </w:p>
        </w:tc>
        <w:tc>
          <w:tcPr>
            <w:tcW w:type="dxa" w:w="120"/>
            <w:shd w:fill="FFFFFF" w:val="clear"/>
          </w:tcPr>
          <w:p>
            <w:r>
              <w:rPr>
                <w:b w:val="false"/>
                <w:bCs w:val="false"/>
                <w:color w:val="000000"/>
                <w:sz w:val="20"/>
                <w:szCs w:val="20"/>
              </w:rPr>
              <w:t xml:space="preserve">El més baix</w:t>
            </w:r>
          </w:p>
        </w:tc>
        <w:tc>
          <w:tcPr>
            <w:tcW w:type="dxa" w:w="120"/>
            <w:shd w:fill="FFFFFF" w:val="clear"/>
          </w:tcPr>
          <w:p>
            <w:r>
              <w:rPr>
                <w:b w:val="false"/>
                <w:bCs w:val="false"/>
                <w:color w:val="000000"/>
                <w:sz w:val="20"/>
                <w:szCs w:val="20"/>
              </w:rPr>
              <w:t xml:space="preserve">Mitjà</w:t>
            </w:r>
          </w:p>
        </w:tc>
        <w:tc>
          <w:tcPr>
            <w:tcW w:type="dxa" w:w="120"/>
            <w:shd w:fill="FFFFFF" w:val="clear"/>
          </w:tcPr>
          <w:p>
            <w:r>
              <w:rPr>
                <w:b w:val="false"/>
                <w:bCs w:val="false"/>
                <w:color w:val="000000"/>
                <w:sz w:val="20"/>
                <w:szCs w:val="20"/>
              </w:rPr>
              <w:t xml:space="preserve">Mitjà-alt</w:t>
            </w:r>
          </w:p>
        </w:tc>
        <w:tc>
          <w:tcPr>
            <w:tcW w:type="dxa" w:w="120"/>
            <w:shd w:fill="FFFFFF" w:val="clear"/>
          </w:tcPr>
          <w:p>
            <w:r>
              <w:rPr>
                <w:b w:val="false"/>
                <w:bCs w:val="false"/>
                <w:color w:val="000000"/>
                <w:sz w:val="20"/>
                <w:szCs w:val="20"/>
              </w:rPr>
              <w:t xml:space="preserve">Variable</w:t>
            </w:r>
          </w:p>
        </w:tc>
      </w:tr>
      <w:tr>
        <w:trPr>
          <w:cantSplit/>
        </w:trPr>
        <w:tc>
          <w:tcPr>
            <w:tcW w:type="dxa" w:w="120"/>
            <w:shd w:fill="FFFFFF" w:val="clear"/>
          </w:tcPr>
          <w:p>
            <w:r>
              <w:rPr>
                <w:b w:val="false"/>
                <w:bCs w:val="false"/>
                <w:color w:val="000000"/>
                <w:sz w:val="20"/>
                <w:szCs w:val="20"/>
              </w:rPr>
              <w:t xml:space="preserve">Ús típic</w:t>
            </w:r>
          </w:p>
        </w:tc>
        <w:tc>
          <w:tcPr>
            <w:tcW w:type="dxa" w:w="120"/>
            <w:shd w:fill="FFFFFF" w:val="clear"/>
          </w:tcPr>
          <w:p>
            <w:r>
              <w:rPr>
                <w:b w:val="false"/>
                <w:bCs w:val="false"/>
                <w:color w:val="000000"/>
                <w:sz w:val="20"/>
                <w:szCs w:val="20"/>
              </w:rPr>
              <w:t xml:space="preserve">Gran capacitat, arxiu i còpies</w:t>
            </w:r>
          </w:p>
        </w:tc>
        <w:tc>
          <w:tcPr>
            <w:tcW w:type="dxa" w:w="120"/>
            <w:shd w:fill="FFFFFF" w:val="clear"/>
          </w:tcPr>
          <w:p>
            <w:r>
              <w:rPr>
                <w:b w:val="false"/>
                <w:bCs w:val="false"/>
                <w:color w:val="000000"/>
                <w:sz w:val="20"/>
                <w:szCs w:val="20"/>
              </w:rPr>
              <w:t xml:space="preserve">Equips d'oficina</w:t>
            </w:r>
          </w:p>
        </w:tc>
        <w:tc>
          <w:tcPr>
            <w:tcW w:type="dxa" w:w="120"/>
            <w:shd w:fill="FFFFFF" w:val="clear"/>
          </w:tcPr>
          <w:p>
            <w:r>
              <w:rPr>
                <w:b w:val="false"/>
                <w:bCs w:val="false"/>
                <w:color w:val="000000"/>
                <w:sz w:val="20"/>
                <w:szCs w:val="20"/>
              </w:rPr>
              <w:t xml:space="preserve">Servidors i equips exigents</w:t>
            </w:r>
          </w:p>
        </w:tc>
        <w:tc>
          <w:tcPr>
            <w:tcW w:type="dxa" w:w="120"/>
            <w:shd w:fill="FFFFFF" w:val="clear"/>
          </w:tcPr>
          <w:p>
            <w:r>
              <w:rPr>
                <w:b w:val="false"/>
                <w:bCs w:val="false"/>
                <w:color w:val="000000"/>
                <w:sz w:val="20"/>
                <w:szCs w:val="20"/>
              </w:rPr>
              <w:t xml:space="preserve">Transport de dades</w:t>
            </w:r>
          </w:p>
        </w:tc>
      </w:tr>
    </w:tbl>
    <w:p>
      <w:pPr>
        <w:spacing w:after="180" w:line="300"/>
        <w:jc w:val="both"/>
      </w:pPr>
      <w:r>
        <w:rPr>
          <w:i/>
          <w:iCs/>
          <w:sz w:val="18"/>
          <w:szCs w:val="18"/>
        </w:rPr>
        <w:t xml:space="preserve">Valors orientatius (ordre de magnitud): cada model concret pot variar. Els SSD SATA estan limitats per la connexió SATA (≈ 600 MB/s); els NVMe es connecten directament al bus PCIe i per això són molt més ràpids.</w:t>
      </w:r>
    </w:p>
    <w:p>
      <w:pPr>
        <w:pStyle w:val="Heading2"/>
        <w:spacing w:after="140" w:before="260"/>
      </w:pPr>
      <w:r>
        <w:rPr/>
        <w:t xml:space="preserve">2.3. Detectar anomalies: SMART</w:t>
      </w:r>
    </w:p>
    <w:p>
      <w:pPr>
        <w:spacing w:after="180" w:line="300"/>
        <w:jc w:val="both"/>
      </w:pPr>
      <w:r>
        <w:rPr>
          <w:sz w:val="22"/>
          <w:szCs w:val="22"/>
        </w:rPr>
        <w:t xml:space="preserve">SMART (Self-Monitoring, Analysis and Reporting Technology) és un sistema integrat als discos HDD, SSD i NVMe que registra indicadors de salut del disc: sectors defectuosos reassignats, errors de lectura, temperatura, hores d'ús o, en els SSD, el desgast de les cel·les. Si aquests valors empitjoren, cal substituir el disc ABANS que falli i es perdin dades.</w:t>
      </w:r>
    </w:p>
    <w:p>
      <w:pPr>
        <w:spacing w:after="180" w:line="300"/>
        <w:jc w:val="both"/>
      </w:pPr>
      <w:r>
        <w:rPr>
          <w:sz w:val="22"/>
          <w:szCs w:val="22"/>
        </w:rPr>
        <w:t xml:space="preserve">A Ubuntu es pot consultar amb l'eina smartctl (cal instal·lar el paquet smartmontools): sudo smartctl -H /dev/sda mostra l'estat de salut general del disc i sudo smartctl -a /dev/sda en mostra tots els indicadors. A l'escriptori, l'aplicació Discos també mostra les dades SMART de cada disc.</w:t>
      </w:r>
    </w:p>
    <w:p>
      <w:pPr>
        <w:pStyle w:val="Heading1"/>
        <w:spacing w:after="180" w:before="400"/>
      </w:pPr>
      <w:r>
        <w:t xml:space="preserve">3.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4.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4.1.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jc w:val="center"/>
      </w:pPr>
      <w:r>
        <w:drawing>
          <wp:inline xmlns:a="http://schemas.openxmlformats.org/drawingml/2006/main" xmlns:pic="http://schemas.openxmlformats.org/drawingml/2006/picture">
            <wp:extent cx="3657600" cy="4948210"/>
            <wp:docPr id="1" name="Picture 1"/>
            <wp:cNvGraphicFramePr>
              <a:graphicFrameLocks noChangeAspect="1"/>
            </wp:cNvGraphicFramePr>
            <a:graphic>
              <a:graphicData uri="http://schemas.openxmlformats.org/drawingml/2006/picture">
                <pic:pic>
                  <pic:nvPicPr>
                    <pic:cNvPr id="0" name="raid0.png"/>
                    <pic:cNvPicPr/>
                  </pic:nvPicPr>
                  <pic:blipFill>
                    <a:blip r:embed="rId8"/>
                    <a:stretch>
                      <a:fillRect/>
                    </a:stretch>
                  </pic:blipFill>
                  <pic:spPr>
                    <a:xfrm>
                      <a:off x="0" y="0"/>
                      <a:ext cx="3657600" cy="4948210"/>
                    </a:xfrm>
                    <a:prstGeom prst="rect"/>
                  </pic:spPr>
                </pic:pic>
              </a:graphicData>
            </a:graphic>
          </wp:inline>
        </w:drawing>
      </w:r>
    </w:p>
    <w:p>
      <w:pPr>
        <w:jc w:val="center"/>
      </w:pPr>
      <w:r>
        <w:rPr>
          <w:i/>
          <w:color w:val="5B6B77"/>
          <w:sz w:val="19"/>
        </w:rPr>
        <w:t>RAID 0 — Data striping.</w:t>
      </w:r>
    </w:p>
    <w:p>
      <w:pPr>
        <w:pStyle w:val="Heading2"/>
        <w:spacing w:after="140" w:before="260"/>
      </w:pPr>
      <w:r>
        <w:t xml:space="preserve">4.2.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jc w:val="center"/>
      </w:pPr>
      <w:r>
        <w:drawing>
          <wp:inline xmlns:a="http://schemas.openxmlformats.org/drawingml/2006/main" xmlns:pic="http://schemas.openxmlformats.org/drawingml/2006/picture">
            <wp:extent cx="3657600" cy="4948210"/>
            <wp:docPr id="2" name="Picture 2"/>
            <wp:cNvGraphicFramePr>
              <a:graphicFrameLocks noChangeAspect="1"/>
            </wp:cNvGraphicFramePr>
            <a:graphic>
              <a:graphicData uri="http://schemas.openxmlformats.org/drawingml/2006/picture">
                <pic:pic>
                  <pic:nvPicPr>
                    <pic:cNvPr id="0" name="raid1.png"/>
                    <pic:cNvPicPr/>
                  </pic:nvPicPr>
                  <pic:blipFill>
                    <a:blip r:embed="rId9"/>
                    <a:stretch>
                      <a:fillRect/>
                    </a:stretch>
                  </pic:blipFill>
                  <pic:spPr>
                    <a:xfrm>
                      <a:off x="0" y="0"/>
                      <a:ext cx="3657600" cy="4948210"/>
                    </a:xfrm>
                    <a:prstGeom prst="rect"/>
                  </pic:spPr>
                </pic:pic>
              </a:graphicData>
            </a:graphic>
          </wp:inline>
        </w:drawing>
      </w:r>
    </w:p>
    <w:p>
      <w:pPr>
        <w:jc w:val="center"/>
      </w:pPr>
      <w:r>
        <w:rPr>
          <w:i/>
          <w:color w:val="5B6B77"/>
          <w:sz w:val="19"/>
        </w:rPr>
        <w:t>RAID 1 — Mirror.</w:t>
      </w:r>
    </w:p>
    <w:p>
      <w:pPr>
        <w:pStyle w:val="Heading2"/>
        <w:spacing w:after="140" w:before="260"/>
      </w:pPr>
      <w:r>
        <w:t xml:space="preserve">4.3.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jc w:val="center"/>
      </w:pPr>
      <w:r>
        <w:drawing>
          <wp:inline xmlns:a="http://schemas.openxmlformats.org/drawingml/2006/main" xmlns:pic="http://schemas.openxmlformats.org/drawingml/2006/picture">
            <wp:extent cx="4114800" cy="3603389"/>
            <wp:docPr id="3" name="Picture 3"/>
            <wp:cNvGraphicFramePr>
              <a:graphicFrameLocks noChangeAspect="1"/>
            </wp:cNvGraphicFramePr>
            <a:graphic>
              <a:graphicData uri="http://schemas.openxmlformats.org/drawingml/2006/picture">
                <pic:pic>
                  <pic:nvPicPr>
                    <pic:cNvPr id="0" name="raid5.png"/>
                    <pic:cNvPicPr/>
                  </pic:nvPicPr>
                  <pic:blipFill>
                    <a:blip r:embed="rId10"/>
                    <a:stretch>
                      <a:fillRect/>
                    </a:stretch>
                  </pic:blipFill>
                  <pic:spPr>
                    <a:xfrm>
                      <a:off x="0" y="0"/>
                      <a:ext cx="4114800" cy="3603389"/>
                    </a:xfrm>
                    <a:prstGeom prst="rect"/>
                  </pic:spPr>
                </pic:pic>
              </a:graphicData>
            </a:graphic>
          </wp:inline>
        </w:drawing>
      </w:r>
    </w:p>
    <w:p>
      <w:pPr>
        <w:jc w:val="center"/>
      </w:pPr>
      <w:r>
        <w:rPr>
          <w:i/>
          <w:color w:val="5B6B77"/>
          <w:sz w:val="19"/>
        </w:rPr>
        <w:t>RAID 5 — Paritat distribuïda.</w:t>
      </w:r>
    </w:p>
    <w:p>
      <w:pPr>
        <w:spacing w:after="180" w:line="300" w:before="240"/>
        <w:jc w:val="both"/>
      </w:pPr>
      <w:r>
        <w:rPr>
          <w:b/>
          <w:sz w:val="22"/>
          <w:szCs w:val="22"/>
        </w:rPr>
        <w:t xml:space="preserve">Com funciona la paritat?</w:t>
      </w:r>
    </w:p>
    <w:p>
      <w:pPr>
        <w:spacing w:after="180" w:line="300"/>
        <w:jc w:val="both"/>
      </w:pPr>
      <w:r>
        <w:rPr>
          <w:sz w:val="22"/>
          <w:szCs w:val="22"/>
        </w:rPr>
        <w:t xml:space="preserve">Una analogia amb sumes ajuda a entendre-ho. Imagina que has de guardar dos números, 3 i 5, i tens tres caixes: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Caixa A</w:t>
            </w:r>
          </w:p>
        </w:tc>
        <w:tc>
          <w:tcPr>
            <w:tcW w:type="dxa" w:w="240"/>
            <w:shd w:fill="16242E" w:val="clear"/>
          </w:tcPr>
          <w:p>
            <w:r>
              <w:rPr>
                <w:b/>
                <w:bCs/>
                <w:color w:val="FFFFFF"/>
                <w:sz w:val="20"/>
                <w:szCs w:val="20"/>
              </w:rPr>
              <w:t xml:space="preserve">Caixa B</w:t>
            </w:r>
          </w:p>
        </w:tc>
        <w:tc>
          <w:tcPr>
            <w:tcW w:type="dxa" w:w="240"/>
            <w:shd w:fill="16242E" w:val="clear"/>
          </w:tcPr>
          <w:p>
            <w:r>
              <w:rPr>
                <w:b/>
                <w:bCs/>
                <w:color w:val="FFFFFF"/>
                <w:sz w:val="20"/>
                <w:szCs w:val="20"/>
              </w:rPr>
              <w:t xml:space="preserve">Caixa C (paritat)</w:t>
            </w:r>
          </w:p>
        </w:tc>
      </w:tr>
      <w:tr>
        <w:trPr>
          <w:cantSplit/>
        </w:trPr>
        <w:tc>
          <w:tcPr>
            <w:tcW w:type="dxa" w:w="120"/>
            <w:shd w:fill="FFFFFF" w:val="clear"/>
          </w:tcPr>
          <w:p>
            <w:r>
              <w:rPr>
                <w:b w:val="false"/>
                <w:bCs w:val="false"/>
                <w:color w:val="000000"/>
                <w:sz w:val="20"/>
                <w:szCs w:val="20"/>
              </w:rPr>
              <w:t xml:space="preserve">3</w:t>
            </w:r>
          </w:p>
        </w:tc>
        <w:tc>
          <w:tcPr>
            <w:tcW w:type="dxa" w:w="240"/>
            <w:shd w:fill="FFFFFF" w:val="clear"/>
          </w:tcPr>
          <w:p>
            <w:r>
              <w:rPr>
                <w:b w:val="false"/>
                <w:bCs w:val="false"/>
                <w:color w:val="000000"/>
                <w:sz w:val="20"/>
                <w:szCs w:val="20"/>
              </w:rPr>
              <w:t xml:space="preserve">5</w:t>
            </w:r>
          </w:p>
        </w:tc>
        <w:tc>
          <w:tcPr>
            <w:tcW w:type="dxa" w:w="240"/>
            <w:shd w:fill="FFFFFF" w:val="clear"/>
          </w:tcPr>
          <w:p>
            <w:r>
              <w:rPr>
                <w:b w:val="false"/>
                <w:bCs w:val="false"/>
                <w:color w:val="000000"/>
                <w:sz w:val="20"/>
                <w:szCs w:val="20"/>
              </w:rPr>
              <w:t xml:space="preserve">8 (= 3 + 5)</w:t>
            </w:r>
          </w:p>
        </w:tc>
      </w:tr>
    </w:tbl>
    <w:p>
      <w:pPr>
        <w:pStyle w:val="ListParagraph"/>
        <w:numPr>
          <w:ilvl w:val="0"/>
          <w:numId w:val="1"/>
        </w:numPr>
        <w:spacing w:after="100" w:line="280" w:before="120"/>
      </w:pPr>
      <w:r>
        <w:rPr>
          <w:sz w:val="22"/>
          <w:szCs w:val="22"/>
        </w:rPr>
        <w:t xml:space="preserve">Si es perd la caixa A: 8 − 5 = 3. Recuperat.</w:t>
      </w:r>
    </w:p>
    <w:p>
      <w:pPr>
        <w:pStyle w:val="ListParagraph"/>
        <w:numPr>
          <w:ilvl w:val="0"/>
          <w:numId w:val="1"/>
        </w:numPr>
        <w:spacing w:after="100" w:line="280"/>
      </w:pPr>
      <w:r>
        <w:rPr>
          <w:sz w:val="22"/>
          <w:szCs w:val="22"/>
        </w:rPr>
        <w:t xml:space="preserve">Si es perd la caixa B: 8 − 3 = 5. Recuperat.</w:t>
      </w:r>
    </w:p>
    <w:p>
      <w:pPr>
        <w:pStyle w:val="ListParagraph"/>
        <w:numPr>
          <w:ilvl w:val="0"/>
          <w:numId w:val="1"/>
        </w:numPr>
        <w:spacing w:after="100" w:line="280"/>
      </w:pPr>
      <w:r>
        <w:rPr>
          <w:sz w:val="22"/>
          <w:szCs w:val="22"/>
        </w:rPr>
        <w:t xml:space="preserve">Si es perd la caixa C: es torna a calcular, 3 + 5 = 8.</w:t>
      </w:r>
    </w:p>
    <w:p>
      <w:pPr>
        <w:pStyle w:val="ListParagraph"/>
        <w:numPr>
          <w:ilvl w:val="0"/>
          <w:numId w:val="1"/>
        </w:numPr>
        <w:spacing w:after="100" w:line="280"/>
      </w:pPr>
      <w:r>
        <w:rPr>
          <w:sz w:val="22"/>
          <w:szCs w:val="22"/>
        </w:rPr>
        <w:t xml:space="preserve">Si es perden dues caixes alhora, ja no es pot calcular res. Per això el RAID 5 només suporta la fallada d'un disc.</w:t>
      </w:r>
    </w:p>
    <w:p>
      <w:pPr>
        <w:spacing w:after="180" w:line="300"/>
        <w:jc w:val="both"/>
      </w:pPr>
      <w:r>
        <w:rPr>
          <w:sz w:val="22"/>
          <w:szCs w:val="22"/>
        </w:rPr>
        <w:t xml:space="preserve">El RAID 5 fa exactament això, però en comptes de la suma fa servir l'operació </w:t>
      </w:r>
      <w:r>
        <w:rPr>
          <w:b/>
          <w:sz w:val="22"/>
          <w:szCs w:val="22"/>
        </w:rPr>
        <w:t xml:space="preserve">XOR</w:t>
      </w:r>
      <w:r>
        <w:rPr>
          <w:sz w:val="22"/>
          <w:szCs w:val="22"/>
        </w:rPr>
        <w:t xml:space="preserve">, a nivell de bits:</w:t>
      </w:r>
    </w:p>
    <w:p>
      <w:pPr>
        <w:spacing w:after="180" w:line="300"/>
        <w:jc w:val="left"/>
      </w:pPr>
      <w:r>
        <w:rPr>
          <w:rFonts w:ascii="Consolas" w:hAnsi="Consolas" w:cs="Consolas"/>
          <w:sz w:val="18"/>
          <w:szCs w:val="22"/>
        </w:rPr>
        <w:t xml:space="preserve">Disc 1:   1 0 1 1</w:t>
      </w:r>
      <w:r>
        <w:rPr>
          <w:rFonts w:ascii="Consolas" w:hAnsi="Consolas" w:cs="Consolas"/>
          <w:sz w:val="18"/>
          <w:szCs w:val="22"/>
        </w:rPr>
        <w:br/>
      </w:r>
      <w:r>
        <w:rPr>
          <w:rFonts w:ascii="Consolas" w:hAnsi="Consolas" w:cs="Consolas"/>
          <w:sz w:val="18"/>
          <w:szCs w:val="22"/>
        </w:rPr>
        <w:t xml:space="preserve">Disc 2:   0 1 1 0</w:t>
      </w:r>
      <w:r>
        <w:rPr>
          <w:rFonts w:ascii="Consolas" w:hAnsi="Consolas" w:cs="Consolas"/>
          <w:sz w:val="18"/>
          <w:szCs w:val="22"/>
        </w:rPr>
        <w:br/>
      </w:r>
      <w:r>
        <w:rPr>
          <w:rFonts w:ascii="Consolas" w:hAnsi="Consolas" w:cs="Consolas"/>
          <w:sz w:val="18"/>
          <w:szCs w:val="22"/>
        </w:rPr>
        <w:t xml:space="preserve">Paritat:  1 1 0 1   (XOR: 1 si els bits són diferents, 0 si són iguals)</w:t>
      </w:r>
    </w:p>
    <w:p>
      <w:pPr>
        <w:spacing w:after="180" w:line="300"/>
        <w:jc w:val="both"/>
      </w:pPr>
      <w:r>
        <w:rPr>
          <w:sz w:val="22"/>
          <w:szCs w:val="22"/>
        </w:rPr>
        <w:t xml:space="preserve">Si es perd el disc 1, en fer el XOR del disc 2 amb la paritat surt 1 0 1 1, que és el contingut original.</w:t>
      </w:r>
    </w:p>
    <w:p>
      <w:pPr>
        <w:pStyle w:val="Heading2"/>
        <w:spacing w:after="140" w:before="260"/>
      </w:pPr>
      <w:r>
        <w:t xml:space="preserve">4.4.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jc w:val="center"/>
      </w:pPr>
      <w:r>
        <w:drawing>
          <wp:inline xmlns:a="http://schemas.openxmlformats.org/drawingml/2006/main" xmlns:pic="http://schemas.openxmlformats.org/drawingml/2006/picture">
            <wp:extent cx="4114800" cy="2662863"/>
            <wp:docPr id="4" name="Picture 4"/>
            <wp:cNvGraphicFramePr>
              <a:graphicFrameLocks noChangeAspect="1"/>
            </wp:cNvGraphicFramePr>
            <a:graphic>
              <a:graphicData uri="http://schemas.openxmlformats.org/drawingml/2006/picture">
                <pic:pic>
                  <pic:nvPicPr>
                    <pic:cNvPr id="0" name="raid6.png"/>
                    <pic:cNvPicPr/>
                  </pic:nvPicPr>
                  <pic:blipFill>
                    <a:blip r:embed="rId11"/>
                    <a:stretch>
                      <a:fillRect/>
                    </a:stretch>
                  </pic:blipFill>
                  <pic:spPr>
                    <a:xfrm>
                      <a:off x="0" y="0"/>
                      <a:ext cx="4114800" cy="2662863"/>
                    </a:xfrm>
                    <a:prstGeom prst="rect"/>
                  </pic:spPr>
                </pic:pic>
              </a:graphicData>
            </a:graphic>
          </wp:inline>
        </w:drawing>
      </w:r>
    </w:p>
    <w:p>
      <w:pPr>
        <w:jc w:val="center"/>
      </w:pPr>
      <w:r>
        <w:rPr>
          <w:i/>
          <w:color w:val="5B6B77"/>
          <w:sz w:val="19"/>
        </w:rPr>
        <w:t>RAID 6 — Doble paritat.</w:t>
      </w:r>
    </w:p>
    <w:p>
      <w:pPr>
        <w:pStyle w:val="Heading2"/>
        <w:spacing w:after="140" w:before="260"/>
      </w:pPr>
      <w:r>
        <w:t xml:space="preserve">4.5.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jc w:val="center"/>
      </w:pPr>
      <w:r>
        <w:drawing>
          <wp:inline xmlns:a="http://schemas.openxmlformats.org/drawingml/2006/main" xmlns:pic="http://schemas.openxmlformats.org/drawingml/2006/picture">
            <wp:extent cx="4114800" cy="2662863"/>
            <wp:docPr id="5" name="Picture 5"/>
            <wp:cNvGraphicFramePr>
              <a:graphicFrameLocks noChangeAspect="1"/>
            </wp:cNvGraphicFramePr>
            <a:graphic>
              <a:graphicData uri="http://schemas.openxmlformats.org/drawingml/2006/picture">
                <pic:pic>
                  <pic:nvPicPr>
                    <pic:cNvPr id="0" name="raid10.png"/>
                    <pic:cNvPicPr/>
                  </pic:nvPicPr>
                  <pic:blipFill>
                    <a:blip r:embed="rId12"/>
                    <a:stretch>
                      <a:fillRect/>
                    </a:stretch>
                  </pic:blipFill>
                  <pic:spPr>
                    <a:xfrm>
                      <a:off x="0" y="0"/>
                      <a:ext cx="4114800" cy="2662863"/>
                    </a:xfrm>
                    <a:prstGeom prst="rect"/>
                  </pic:spPr>
                </pic:pic>
              </a:graphicData>
            </a:graphic>
          </wp:inline>
        </w:drawing>
      </w:r>
    </w:p>
    <w:p>
      <w:pPr>
        <w:jc w:val="center"/>
      </w:pPr>
      <w:r>
        <w:rPr>
          <w:i/>
          <w:color w:val="5B6B77"/>
          <w:sz w:val="19"/>
        </w:rPr>
        <w:t>RAID 10 — Aniuat (1+0).</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jc w:val="center"/>
      </w:pPr>
      <w:r>
        <w:drawing>
          <wp:inline xmlns:a="http://schemas.openxmlformats.org/drawingml/2006/main" xmlns:pic="http://schemas.openxmlformats.org/drawingml/2006/picture">
            <wp:extent cx="3657600" cy="6502400"/>
            <wp:docPr id="6" name="Picture 6"/>
            <wp:cNvGraphicFramePr>
              <a:graphicFrameLocks noChangeAspect="1"/>
            </wp:cNvGraphicFramePr>
            <a:graphic>
              <a:graphicData uri="http://schemas.openxmlformats.org/drawingml/2006/picture">
                <pic:pic>
                  <pic:nvPicPr>
                    <pic:cNvPr id="0" name="RAID.gif"/>
                    <pic:cNvPicPr/>
                  </pic:nvPicPr>
                  <pic:blipFill>
                    <a:blip r:embed="rId13"/>
                    <a:stretch>
                      <a:fillRect/>
                    </a:stretch>
                  </pic:blipFill>
                  <pic:spPr>
                    <a:xfrm>
                      <a:off x="0" y="0"/>
                      <a:ext cx="3657600" cy="6502400"/>
                    </a:xfrm>
                    <a:prstGeom prst="rect"/>
                  </pic:spPr>
                </pic:pic>
              </a:graphicData>
            </a:graphic>
          </wp:inline>
        </w:drawing>
      </w:r>
    </w:p>
    <w:p>
      <w:pPr>
        <w:jc w:val="center"/>
      </w:pPr>
      <w:hyperlink r:id="rId18">
        <w:r>
          <w:rPr>
            <w:i/>
            <w:sz w:val="19"/>
            <w:color w:val="0563C1"/>
            <w:u w:val="single"/>
          </w:rPr>
          <w:t xml:space="preserve">Comparativa visual dels principals tipus de RAID</w:t>
        </w:r>
      </w:hyperlink>
      <w:r>
        <w:rPr>
          <w:i/>
          <w:color w:val="5B6B77"/>
          <w:sz w:val="19"/>
        </w:rPr>
        <w:t xml:space="preserve">.</w:t>
      </w:r>
    </w:p>
    <w:p>
      <w:pPr>
        <w:pStyle w:val="Heading2"/>
        <w:spacing w:after="140" w:before="260"/>
      </w:pPr>
      <w:r>
        <w:t xml:space="preserve">4.6.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t>
      </w:r>
      <w:hyperlink r:id="rId19">
        <w:r>
          <w:rPr>
            <w:i/>
            <w:iCs/>
            <w:sz w:val="18"/>
            <w:szCs w:val="18"/>
            <w:color w:val="0563C1"/>
            <w:u w:val="single"/>
          </w:rPr>
          <w:t xml:space="preserve">www.raid-calculator.com</w:t>
        </w:r>
      </w:hyperlink>
      <w:r>
        <w:rPr>
          <w:i/>
          <w:iCs/>
          <w:sz w:val="18"/>
          <w:szCs w:val="18"/>
        </w:rPr>
        <w:t xml:space="preserve"> — "RAID Types Reference".</w:t>
      </w:r>
    </w:p>
    <w:p>
      <w:pPr>
        <w:pStyle w:val="Heading1"/>
        <w:spacing w:after="180" w:before="400"/>
      </w:pPr>
      <w:r>
        <w:t xml:space="preserve">5.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5.1.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jc w:val="center"/>
      </w:pPr>
      <w:r>
        <w:drawing>
          <wp:inline xmlns:a="http://schemas.openxmlformats.org/drawingml/2006/main" xmlns:pic="http://schemas.openxmlformats.org/drawingml/2006/picture">
            <wp:extent cx="2926080" cy="1158240"/>
            <wp:docPr id="7" name="Picture 7"/>
            <wp:cNvGraphicFramePr>
              <a:graphicFrameLocks noChangeAspect="1"/>
            </wp:cNvGraphicFramePr>
            <a:graphic>
              <a:graphicData uri="http://schemas.openxmlformats.org/drawingml/2006/picture">
                <pic:pic>
                  <pic:nvPicPr>
                    <pic:cNvPr id="0" name="hp-proliant.jpg"/>
                    <pic:cNvPicPr/>
                  </pic:nvPicPr>
                  <pic:blipFill>
                    <a:blip r:embed="rId14"/>
                    <a:stretch>
                      <a:fillRect/>
                    </a:stretch>
                  </pic:blipFill>
                  <pic:spPr>
                    <a:xfrm>
                      <a:off x="0" y="0"/>
                      <a:ext cx="2926080" cy="1158240"/>
                    </a:xfrm>
                    <a:prstGeom prst="rect"/>
                  </pic:spPr>
                </pic:pic>
              </a:graphicData>
            </a:graphic>
          </wp:inline>
        </w:drawing>
      </w:r>
    </w:p>
    <w:p>
      <w:pPr>
        <w:jc w:val="center"/>
      </w:pPr>
      <w:hyperlink r:id="rId20">
        <w:r>
          <w:rPr>
            <w:i/>
            <w:sz w:val="19"/>
            <w:color w:val="0563C1"/>
            <w:u w:val="single"/>
          </w:rPr>
          <w:t xml:space="preserve">Servidor HP ProLiant DL380 Gen9</w:t>
        </w:r>
      </w:hyperlink>
      <w:r>
        <w:rPr>
          <w:i/>
          <w:color w:val="5B6B77"/>
          <w:sz w:val="19"/>
        </w:rPr>
        <w:t xml:space="preserve">, un exemple real d'equip usat com a DAS.</w:t>
      </w:r>
    </w:p>
    <w:p>
      <w:pPr>
        <w:jc w:val="center"/>
      </w:pPr>
      <w:r>
        <w:drawing>
          <wp:inline xmlns:a="http://schemas.openxmlformats.org/drawingml/2006/main" xmlns:pic="http://schemas.openxmlformats.org/drawingml/2006/picture">
            <wp:extent cx="2926080" cy="1821684"/>
            <wp:docPr id="8" name="Picture 8"/>
            <wp:cNvGraphicFramePr>
              <a:graphicFrameLocks noChangeAspect="1"/>
            </wp:cNvGraphicFramePr>
            <a:graphic>
              <a:graphicData uri="http://schemas.openxmlformats.org/drawingml/2006/picture">
                <pic:pic>
                  <pic:nvPicPr>
                    <pic:cNvPr id="0" name="das.png"/>
                    <pic:cNvPicPr/>
                  </pic:nvPicPr>
                  <pic:blipFill>
                    <a:blip r:embed="rId15"/>
                    <a:stretch>
                      <a:fillRect/>
                    </a:stretch>
                  </pic:blipFill>
                  <pic:spPr>
                    <a:xfrm>
                      <a:off x="0" y="0"/>
                      <a:ext cx="2926080" cy="1821684"/>
                    </a:xfrm>
                    <a:prstGeom prst="rect"/>
                  </pic:spPr>
                </pic:pic>
              </a:graphicData>
            </a:graphic>
          </wp:inline>
        </w:drawing>
      </w:r>
    </w:p>
    <w:p>
      <w:pPr>
        <w:jc w:val="center"/>
      </w:pPr>
      <w:r>
        <w:rPr>
          <w:i/>
          <w:color w:val="5B6B77"/>
          <w:sz w:val="19"/>
        </w:rPr>
        <w:t>En un DAS, cada servidor exposa el seu propi emmagatzematge directament a la xarxa.</w:t>
      </w:r>
    </w:p>
    <w:p>
      <w:pPr>
        <w:pStyle w:val="Heading2"/>
        <w:spacing w:after="140" w:before="260"/>
      </w:pPr>
      <w:r>
        <w:t xml:space="preserve">5.2.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jc w:val="center"/>
      </w:pPr>
      <w:r>
        <w:drawing>
          <wp:inline xmlns:a="http://schemas.openxmlformats.org/drawingml/2006/main" xmlns:pic="http://schemas.openxmlformats.org/drawingml/2006/picture">
            <wp:extent cx="4572000" cy="1987550"/>
            <wp:docPr id="9" name="Picture 9"/>
            <wp:cNvGraphicFramePr>
              <a:graphicFrameLocks noChangeAspect="1"/>
            </wp:cNvGraphicFramePr>
            <a:graphic>
              <a:graphicData uri="http://schemas.openxmlformats.org/drawingml/2006/picture">
                <pic:pic>
                  <pic:nvPicPr>
                    <pic:cNvPr id="0" name="nas.png"/>
                    <pic:cNvPicPr/>
                  </pic:nvPicPr>
                  <pic:blipFill>
                    <a:blip r:embed="rId16"/>
                    <a:stretch>
                      <a:fillRect/>
                    </a:stretch>
                  </pic:blipFill>
                  <pic:spPr>
                    <a:xfrm>
                      <a:off x="0" y="0"/>
                      <a:ext cx="4572000" cy="1987550"/>
                    </a:xfrm>
                    <a:prstGeom prst="rect"/>
                  </pic:spPr>
                </pic:pic>
              </a:graphicData>
            </a:graphic>
          </wp:inline>
        </w:drawing>
      </w:r>
    </w:p>
    <w:p>
      <w:pPr>
        <w:jc w:val="center"/>
      </w:pPr>
      <w:r>
        <w:rPr>
          <w:i/>
          <w:color w:val="5B6B77"/>
          <w:sz w:val="19"/>
        </w:rPr>
        <w:t>Un NAS connecta diversos clients a través d'un switch; a la dreta, un dispositiu NAS real amb diverses badies de discos.</w:t>
      </w:r>
    </w:p>
    <w:p>
      <w:pPr>
        <w:pStyle w:val="Heading2"/>
        <w:spacing w:after="140" w:before="260"/>
      </w:pPr>
      <w:r>
        <w:t xml:space="preserve">5.3.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jc w:val="center"/>
      </w:pPr>
      <w:r>
        <w:drawing>
          <wp:inline xmlns:a="http://schemas.openxmlformats.org/drawingml/2006/main" xmlns:pic="http://schemas.openxmlformats.org/drawingml/2006/picture">
            <wp:extent cx="3200400" cy="1720215"/>
            <wp:docPr id="10" name="Picture 10"/>
            <wp:cNvGraphicFramePr>
              <a:graphicFrameLocks noChangeAspect="1"/>
            </wp:cNvGraphicFramePr>
            <a:graphic>
              <a:graphicData uri="http://schemas.openxmlformats.org/drawingml/2006/picture">
                <pic:pic>
                  <pic:nvPicPr>
                    <pic:cNvPr id="0" name="cabina_de_discos.png"/>
                    <pic:cNvPicPr/>
                  </pic:nvPicPr>
                  <pic:blipFill>
                    <a:blip r:embed="rId17"/>
                    <a:stretch>
                      <a:fillRect/>
                    </a:stretch>
                  </pic:blipFill>
                  <pic:spPr>
                    <a:xfrm>
                      <a:off x="0" y="0"/>
                      <a:ext cx="3200400" cy="1720215"/>
                    </a:xfrm>
                    <a:prstGeom prst="rect"/>
                  </pic:spPr>
                </pic:pic>
              </a:graphicData>
            </a:graphic>
          </wp:inline>
        </w:drawing>
      </w:r>
    </w:p>
    <w:p>
      <w:pPr>
        <w:jc w:val="center"/>
      </w:pPr>
      <w:hyperlink r:id="rId21">
        <w:r>
          <w:rPr>
            <w:i/>
            <w:sz w:val="19"/>
            <w:color w:val="0563C1"/>
            <w:u w:val="single"/>
          </w:rPr>
          <w:t xml:space="preserve">Cabines de discos dedicades</w:t>
        </w:r>
      </w:hyperlink>
      <w:r>
        <w:rPr>
          <w:i/>
          <w:color w:val="5B6B77"/>
          <w:sz w:val="19"/>
        </w:rPr>
        <w:t xml:space="preserve">, com les que s'utilitzen en un SAN.</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6.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2"/>
        <w:spacing w:after="140" w:before="260"/>
      </w:pPr>
      <w:r>
        <w:rPr/>
        <w:t xml:space="preserve">6.1. Local o núvol?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
            </w:r>
          </w:p>
        </w:tc>
        <w:tc>
          <w:tcPr>
            <w:tcW w:type="dxa" w:w="240"/>
            <w:shd w:fill="16242E" w:val="clear"/>
          </w:tcPr>
          <w:p>
            <w:r>
              <w:rPr>
                <w:b/>
                <w:bCs/>
                <w:color w:val="FFFFFF"/>
                <w:sz w:val="20"/>
                <w:szCs w:val="20"/>
              </w:rPr>
              <w:t xml:space="preserve">Local (on-premise)</w:t>
            </w:r>
          </w:p>
        </w:tc>
        <w:tc>
          <w:tcPr>
            <w:tcW w:type="dxa" w:w="240"/>
            <w:shd w:fill="16242E" w:val="clear"/>
          </w:tcPr>
          <w:p>
            <w:r>
              <w:rPr>
                <w:b/>
                <w:bCs/>
                <w:color w:val="FFFFFF"/>
                <w:sz w:val="20"/>
                <w:szCs w:val="20"/>
              </w:rPr>
              <w:t xml:space="preserve">Núvol</w:t>
            </w:r>
          </w:p>
        </w:tc>
      </w:tr>
      <w:tr>
        <w:trPr>
          <w:cantSplit/>
        </w:trPr>
        <w:tc>
          <w:tcPr>
            <w:tcW w:type="dxa" w:w="120"/>
            <w:shd w:fill="FFFFFF" w:val="clear"/>
          </w:tcPr>
          <w:p>
            <w:r>
              <w:rPr>
                <w:b w:val="false"/>
                <w:bCs w:val="false"/>
                <w:color w:val="000000"/>
                <w:sz w:val="20"/>
                <w:szCs w:val="20"/>
              </w:rPr>
              <w:t xml:space="preserve">Cost</w:t>
            </w:r>
          </w:p>
        </w:tc>
        <w:tc>
          <w:tcPr>
            <w:tcW w:type="dxa" w:w="240"/>
            <w:shd w:fill="FFFFFF" w:val="clear"/>
          </w:tcPr>
          <w:p>
            <w:r>
              <w:rPr>
                <w:b w:val="false"/>
                <w:bCs w:val="false"/>
                <w:color w:val="000000"/>
                <w:sz w:val="20"/>
                <w:szCs w:val="20"/>
              </w:rPr>
              <w:t xml:space="preserve">Inversió inicial alta + manteniment</w:t>
            </w:r>
          </w:p>
        </w:tc>
        <w:tc>
          <w:tcPr>
            <w:tcW w:type="dxa" w:w="240"/>
            <w:shd w:fill="FFFFFF" w:val="clear"/>
          </w:tcPr>
          <w:p>
            <w:r>
              <w:rPr>
                <w:b w:val="false"/>
                <w:bCs w:val="false"/>
                <w:color w:val="000000"/>
                <w:sz w:val="20"/>
                <w:szCs w:val="20"/>
              </w:rPr>
              <w:t xml:space="preserve">Pagament per ús</w:t>
            </w:r>
          </w:p>
        </w:tc>
      </w:tr>
      <w:tr>
        <w:trPr>
          <w:cantSplit/>
        </w:trPr>
        <w:tc>
          <w:tcPr>
            <w:tcW w:type="dxa" w:w="120"/>
            <w:shd w:fill="FFFFFF" w:val="clear"/>
          </w:tcPr>
          <w:p>
            <w:r>
              <w:rPr>
                <w:b w:val="false"/>
                <w:bCs w:val="false"/>
                <w:color w:val="000000"/>
                <w:sz w:val="20"/>
                <w:szCs w:val="20"/>
              </w:rPr>
              <w:t xml:space="preserve">Escalabilitat</w:t>
            </w:r>
          </w:p>
        </w:tc>
        <w:tc>
          <w:tcPr>
            <w:tcW w:type="dxa" w:w="240"/>
            <w:shd w:fill="FFFFFF" w:val="clear"/>
          </w:tcPr>
          <w:p>
            <w:r>
              <w:rPr>
                <w:b w:val="false"/>
                <w:bCs w:val="false"/>
                <w:color w:val="000000"/>
                <w:sz w:val="20"/>
                <w:szCs w:val="20"/>
              </w:rPr>
              <w:t xml:space="preserve">Limitada al maquinari propi</w:t>
            </w:r>
          </w:p>
        </w:tc>
        <w:tc>
          <w:tcPr>
            <w:tcW w:type="dxa" w:w="240"/>
            <w:shd w:fill="FFFFFF" w:val="clear"/>
          </w:tcPr>
          <w:p>
            <w:r>
              <w:rPr>
                <w:b w:val="false"/>
                <w:bCs w:val="false"/>
                <w:color w:val="000000"/>
                <w:sz w:val="20"/>
                <w:szCs w:val="20"/>
              </w:rPr>
              <w:t xml:space="preserve">Pràcticament il·limitada</w:t>
            </w:r>
          </w:p>
        </w:tc>
      </w:tr>
      <w:tr>
        <w:trPr>
          <w:cantSplit/>
        </w:trPr>
        <w:tc>
          <w:tcPr>
            <w:tcW w:type="dxa" w:w="120"/>
            <w:shd w:fill="FFFFFF" w:val="clear"/>
          </w:tcPr>
          <w:p>
            <w:r>
              <w:rPr>
                <w:b w:val="false"/>
                <w:bCs w:val="false"/>
                <w:color w:val="000000"/>
                <w:sz w:val="20"/>
                <w:szCs w:val="20"/>
              </w:rPr>
              <w:t xml:space="preserve">Accés</w:t>
            </w:r>
          </w:p>
        </w:tc>
        <w:tc>
          <w:tcPr>
            <w:tcW w:type="dxa" w:w="240"/>
            <w:shd w:fill="FFFFFF" w:val="clear"/>
          </w:tcPr>
          <w:p>
            <w:r>
              <w:rPr>
                <w:b w:val="false"/>
                <w:bCs w:val="false"/>
                <w:color w:val="000000"/>
                <w:sz w:val="20"/>
                <w:szCs w:val="20"/>
              </w:rPr>
              <w:t xml:space="preserve">Xarxa local o VPN</w:t>
            </w:r>
          </w:p>
        </w:tc>
        <w:tc>
          <w:tcPr>
            <w:tcW w:type="dxa" w:w="240"/>
            <w:shd w:fill="FFFFFF" w:val="clear"/>
          </w:tcPr>
          <w:p>
            <w:r>
              <w:rPr>
                <w:b w:val="false"/>
                <w:bCs w:val="false"/>
                <w:color w:val="000000"/>
                <w:sz w:val="20"/>
                <w:szCs w:val="20"/>
              </w:rPr>
              <w:t xml:space="preserve">Des de qualsevol lloc amb Internet</w:t>
            </w:r>
          </w:p>
        </w:tc>
      </w:tr>
      <w:tr>
        <w:trPr>
          <w:cantSplit/>
        </w:trPr>
        <w:tc>
          <w:tcPr>
            <w:tcW w:type="dxa" w:w="120"/>
            <w:shd w:fill="FFFFFF" w:val="clear"/>
          </w:tcPr>
          <w:p>
            <w:r>
              <w:rPr>
                <w:b w:val="false"/>
                <w:bCs w:val="false"/>
                <w:color w:val="000000"/>
                <w:sz w:val="20"/>
                <w:szCs w:val="20"/>
              </w:rPr>
              <w:t xml:space="preserve">Disponibilitat</w:t>
            </w:r>
          </w:p>
        </w:tc>
        <w:tc>
          <w:tcPr>
            <w:tcW w:type="dxa" w:w="240"/>
            <w:shd w:fill="FFFFFF" w:val="clear"/>
          </w:tcPr>
          <w:p>
            <w:r>
              <w:rPr>
                <w:b w:val="false"/>
                <w:bCs w:val="false"/>
                <w:color w:val="000000"/>
                <w:sz w:val="20"/>
                <w:szCs w:val="20"/>
              </w:rPr>
              <w:t xml:space="preserve">Depèn dels equips propis</w:t>
            </w:r>
          </w:p>
        </w:tc>
        <w:tc>
          <w:tcPr>
            <w:tcW w:type="dxa" w:w="240"/>
            <w:shd w:fill="FFFFFF" w:val="clear"/>
          </w:tcPr>
          <w:p>
            <w:r>
              <w:rPr>
                <w:b w:val="false"/>
                <w:bCs w:val="false"/>
                <w:color w:val="000000"/>
                <w:sz w:val="20"/>
                <w:szCs w:val="20"/>
              </w:rPr>
              <w:t xml:space="preserve">Molt alta (centres de dades redundants)</w:t>
            </w:r>
          </w:p>
        </w:tc>
      </w:tr>
      <w:tr>
        <w:trPr>
          <w:cantSplit/>
        </w:trPr>
        <w:tc>
          <w:tcPr>
            <w:tcW w:type="dxa" w:w="120"/>
            <w:shd w:fill="FFFFFF" w:val="clear"/>
          </w:tcPr>
          <w:p>
            <w:r>
              <w:rPr>
                <w:b w:val="false"/>
                <w:bCs w:val="false"/>
                <w:color w:val="000000"/>
                <w:sz w:val="20"/>
                <w:szCs w:val="20"/>
              </w:rPr>
              <w:t xml:space="preserve">Control i seguretat</w:t>
            </w:r>
          </w:p>
        </w:tc>
        <w:tc>
          <w:tcPr>
            <w:tcW w:type="dxa" w:w="240"/>
            <w:shd w:fill="FFFFFF" w:val="clear"/>
          </w:tcPr>
          <w:p>
            <w:r>
              <w:rPr>
                <w:b w:val="false"/>
                <w:bCs w:val="false"/>
                <w:color w:val="000000"/>
                <w:sz w:val="20"/>
                <w:szCs w:val="20"/>
              </w:rPr>
              <w:t xml:space="preserve">Control total, però responsabilitat total</w:t>
            </w:r>
          </w:p>
        </w:tc>
        <w:tc>
          <w:tcPr>
            <w:tcW w:type="dxa" w:w="240"/>
            <w:shd w:fill="FFFFFF" w:val="clear"/>
          </w:tcPr>
          <w:p>
            <w:r>
              <w:rPr>
                <w:b w:val="false"/>
                <w:bCs w:val="false"/>
                <w:color w:val="000000"/>
                <w:sz w:val="20"/>
                <w:szCs w:val="20"/>
              </w:rPr>
              <w:t xml:space="preserve">Delegats al proveïdor</w:t>
            </w:r>
          </w:p>
        </w:tc>
      </w:tr>
      <w:tr>
        <w:trPr>
          <w:cantSplit/>
        </w:trPr>
        <w:tc>
          <w:tcPr>
            <w:tcW w:type="dxa" w:w="120"/>
            <w:shd w:fill="FFFFFF" w:val="clear"/>
          </w:tcPr>
          <w:p>
            <w:r>
              <w:rPr>
                <w:b w:val="false"/>
                <w:bCs w:val="false"/>
                <w:color w:val="000000"/>
                <w:sz w:val="20"/>
                <w:szCs w:val="20"/>
              </w:rPr>
              <w:t xml:space="preserve">Depèn de</w:t>
            </w:r>
          </w:p>
        </w:tc>
        <w:tc>
          <w:tcPr>
            <w:tcW w:type="dxa" w:w="240"/>
            <w:shd w:fill="FFFFFF" w:val="clear"/>
          </w:tcPr>
          <w:p>
            <w:r>
              <w:rPr>
                <w:b w:val="false"/>
                <w:bCs w:val="false"/>
                <w:color w:val="000000"/>
                <w:sz w:val="20"/>
                <w:szCs w:val="20"/>
              </w:rPr>
              <w:t xml:space="preserve">Maquinari i personal tècnic</w:t>
            </w:r>
          </w:p>
        </w:tc>
        <w:tc>
          <w:tcPr>
            <w:tcW w:type="dxa" w:w="240"/>
            <w:shd w:fill="FFFFFF" w:val="clear"/>
          </w:tcPr>
          <w:p>
            <w:r>
              <w:rPr>
                <w:b w:val="false"/>
                <w:bCs w:val="false"/>
                <w:color w:val="000000"/>
                <w:sz w:val="20"/>
                <w:szCs w:val="20"/>
              </w:rPr>
              <w:t xml:space="preserve">Connexió a Internet i proveïdor</w:t>
            </w:r>
          </w:p>
        </w:tc>
      </w:tr>
    </w:tbl>
    <w:p>
      <w:pPr>
        <w:spacing w:after="180" w:line="300"/>
        <w:jc w:val="both"/>
      </w:pPr>
      <w:r>
        <w:rPr>
          <w:i/>
          <w:iCs/>
          <w:sz w:val="18"/>
          <w:szCs w:val="18"/>
        </w:rPr>
        <w:t xml:space="preserve"/>
      </w:r>
    </w:p>
    <w:p>
      <w:pPr>
        <w:pStyle w:val="Heading2"/>
        <w:spacing w:after="140" w:before="260"/>
      </w:pPr>
      <w:r>
        <w:rPr/>
        <w:t xml:space="preserve">6.2. El model híbrid</w:t>
      </w:r>
    </w:p>
    <w:p>
      <w:pPr>
        <w:spacing w:after="180" w:line="300"/>
        <w:jc w:val="both"/>
      </w:pPr>
      <w:r>
        <w:rPr>
          <w:sz w:val="22"/>
          <w:szCs w:val="22"/>
        </w:rPr>
        <w:t>Moltes empreses combinen tots dos models: guarden en local les dades sensibles i les que necessiten més velocitat, i fan servir el núvol per a les còpies de seguretat fora de l'empresa, per ampliar l'espai o la potència només quan ho necessiten (per exemple, en moments de més feina, sense haver de comprar més servidors) i per col·laborar amb personal que treballa a distància.</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Els tres paràmetres bàsics de l'emmagatzematge són el rendiment (latència, IOPS, throughput), la disponibilitat i l'accessibilitat.</w:t>
      </w:r>
    </w:p>
    <w:p>
      <w:pPr>
        <w:pStyle w:val="ListParagraph"/>
        <w:numPr>
          <w:ilvl w:val="0"/>
          <w:numId w:val="1"/>
        </w:numPr>
        <w:spacing w:after="100" w:line="280"/>
      </w:pPr>
      <w:r>
        <w:rPr>
          <w:sz w:val="22"/>
          <w:szCs w:val="22"/>
        </w:rPr>
        <w:t xml:space="preserve">HDD &lt; SSD SATA &lt; NVMe en rendiment; SMART permet detectar un disc que s'està degradant abans que falli.</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ListParagraph"/>
        <w:numPr>
          <w:ilvl w:val="0"/>
          <w:numId w:val="1"/>
        </w:numPr>
        <w:spacing w:after="100" w:line="280"/>
      </w:pPr>
      <w:r>
        <w:rPr>
          <w:sz w:val="22"/>
          <w:szCs w:val="22"/>
        </w:rPr>
        <w:t xml:space="preserve">Local i núvol tenen avantatges diferents; el model híbrid els combina.</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22">
        <w:r>
          <w:rPr>
            <w:i/>
            <w:iCs/>
            <w:sz w:val="20"/>
            <w:szCs w:val="20"/>
            <w:color w:val="0563C1"/>
            <w:u w:val="single"/>
          </w:rPr>
          <w:t xml:space="preserve">NF2/AA2-SistemesEmmagatzematge.md</w:t>
        </w:r>
      </w:hyperlink>
      <w:r>
        <w:rPr>
          <w:i/>
          <w:iCs/>
          <w:color w:val="5B6B77"/>
          <w:sz w:val="20"/>
          <w:szCs w:val="20"/>
        </w:rPr>
        <w:t xml:space="preserve"> — Carlos Alonso Martínez, Escola Pia de Mataró (llicència CC-BY-SA-4.0).</w:t>
      </w:r>
    </w:p>
    <w:p>
      <w:pPr>
        <w:pStyle w:val="ListParagraph"/>
        <w:numPr>
          <w:ilvl w:val="0"/>
          <w:numId w:val="1"/>
        </w:numPr>
        <w:spacing w:after="120"/>
      </w:pPr>
      <w:hyperlink r:id="rId19">
        <w:r>
          <w:rPr>
            <w:i/>
            <w:iCs/>
            <w:sz w:val="20"/>
            <w:szCs w:val="20"/>
            <w:color w:val="0563C1"/>
            <w:u w:val="single"/>
          </w:rPr>
          <w:t xml:space="preserve">raid-calculator.com</w:t>
        </w:r>
      </w:hyperlink>
      <w:r>
        <w:rPr>
          <w:i/>
          <w:iCs/>
          <w:color w:val="5B6B77"/>
          <w:sz w:val="20"/>
          <w:szCs w:val="20"/>
        </w:rPr>
        <w:t xml:space="preserve"> — "RAID Types Reference".</w:t>
      </w:r>
    </w:p>
    <w:p>
      <w:pPr>
        <w:pStyle w:val="ListParagraph"/>
        <w:numPr>
          <w:ilvl w:val="0"/>
          <w:numId w:val="1"/>
        </w:numPr>
        <w:spacing w:after="120"/>
      </w:pPr>
      <w:r>
        <w:rPr>
          <w:i/>
          <w:iCs/>
          <w:color w:val="5B6B77"/>
          <w:sz w:val="20"/>
          <w:szCs w:val="20"/>
        </w:rPr>
        <w:t xml:space="preserve">NASEROS (YouTube) — </w:t>
      </w:r>
      <w:hyperlink r:id="rId23">
        <w:r>
          <w:rPr>
            <w:i/>
            <w:iCs/>
            <w:sz w:val="20"/>
            <w:szCs w:val="20"/>
            <w:color w:val="0563C1"/>
            <w:u w:val="single"/>
          </w:rPr>
          <w:t xml:space="preserve">"Tipos de RAID. En qué se diferencian y cuales son los mejores"</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Pau Tomé (YouTube) — </w:t>
      </w:r>
      <w:hyperlink r:id="rId24">
        <w:r>
          <w:rPr>
            <w:i/>
            <w:iCs/>
            <w:sz w:val="20"/>
            <w:szCs w:val="20"/>
            <w:color w:val="0563C1"/>
            <w:u w:val="single"/>
          </w:rPr>
          <w:t xml:space="preserve">"RAID en Windows Server"</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IBM — </w:t>
      </w:r>
      <w:hyperlink r:id="rId25">
        <w:r>
          <w:rPr>
            <w:i/>
            <w:iCs/>
            <w:sz w:val="20"/>
            <w:szCs w:val="20"/>
            <w:color w:val="0563C1"/>
            <w:u w:val="single"/>
          </w:rPr>
          <w:t xml:space="preserve">"What is a storage area network (SAN)?"</w:t>
        </w:r>
      </w:hyperlink>
      <w:r>
        <w:rPr>
          <w:i/>
          <w:iCs/>
          <w:color w:val="5B6B77"/>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gif"/><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www.instagram.com/reel/DdtTpMwCkEd/?stkn=MmU0eTB6bjNkMTRr" TargetMode="External"/><Relationship Id="rId19" Type="http://schemas.openxmlformats.org/officeDocument/2006/relationships/hyperlink" Target="https://www.raid-calculator.com/raid-types-reference.aspx" TargetMode="External"/><Relationship Id="rId20" Type="http://schemas.openxmlformats.org/officeDocument/2006/relationships/hyperlink" Target="https://support.hpe.com/hpesc/public/docDisplay?docId=a00019684en_us&amp;docLocale=en_US" TargetMode="External"/><Relationship Id="rId21" Type="http://schemas.openxmlformats.org/officeDocument/2006/relationships/hyperlink" Target="https://www.infores.es/productos/Almacenamiento-SAN.html" TargetMode="External"/><Relationship Id="rId22" Type="http://schemas.openxmlformats.org/officeDocument/2006/relationships/hyperlink" Target="https://github.com/SMX-0226SI/Materials/blob/main/NF2/AA2-SistemesEmmagatzematge.md" TargetMode="External"/><Relationship Id="rId23" Type="http://schemas.openxmlformats.org/officeDocument/2006/relationships/hyperlink" Target="https://youtu.be/x8MXkvgeD0w?si=PxmhBAzU1JfD0yvy" TargetMode="External"/><Relationship Id="rId24" Type="http://schemas.openxmlformats.org/officeDocument/2006/relationships/hyperlink" Target="https://youtu.be/3XO-GrcyxHg?si=gzZ1YTr-ovlSkkI4" TargetMode="External"/><Relationship Id="rId25" Type="http://schemas.openxmlformats.org/officeDocument/2006/relationships/hyperlink" Target="https://www.ibm.com/think/topics/storage-area-network"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