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2436"/>
          <w:sz w:val="52"/>
        </w:rPr>
        <w:t>PREMORTEM</w:t>
      </w:r>
    </w:p>
    <w:p>
      <w:r>
        <w:rPr>
          <w:b/>
          <w:color w:val="0F766E"/>
          <w:sz w:val="28"/>
        </w:rPr>
        <w:t>JS TECHNOLOGY MENORCA, S.L. y la transición a HOSTELERO</w:t>
      </w:r>
    </w:p>
    <w:p>
      <w:r>
        <w:rPr>
          <w:b w:val="0"/>
          <w:i w:val="0"/>
          <w:color w:val="555555"/>
          <w:sz w:val="19"/>
        </w:rPr>
        <w:t>Confidencial · Julio 2026 · Preparado para Joan Serra Miret</w:t>
      </w:r>
    </w:p>
    <w:p>
      <w:r>
        <w:rPr>
          <w:b w:val="0"/>
          <w:i/>
          <w:color w:val="555555"/>
          <w:sz w:val="18"/>
        </w:rPr>
        <w:t>Este documento contiene análisis de riesgo y menciones legales orientativas. No es asesoramiento jurídico ni fiscal: los puntos societarios y sucesorios deben validarse con notario y abogado.</w:t>
      </w:r>
    </w:p>
    <w:p>
      <w:pPr>
        <w:pStyle w:val="Heading1"/>
      </w:pPr>
      <w:r>
        <w:rPr>
          <w:rFonts w:ascii="Arial" w:hAnsi="Arial"/>
          <w:b/>
          <w:color w:val="0F2436"/>
          <w:sz w:val="30"/>
        </w:rPr>
        <w:t>El ejercicio</w:t>
      </w:r>
    </w:p>
    <w:p>
      <w:r>
        <w:rPr>
          <w:b w:val="0"/>
          <w:i w:val="0"/>
          <w:sz w:val="21"/>
        </w:rPr>
        <w:t>Es junio de 2029. JS Technology ha cerrado y HOSTELERO no ha despegado. El premortem consiste en asumir que ese fracaso YA ha ocurrido y reconstruir hacia atrás qué lo causó. No es pesimismo: es la forma más barata de encontrar los fallos antes de cometerlos. Cada escenario incluye probabilidad, impacto, las señales tempranas que avisarían de que está ocurriendo, y las contramedidas.</w:t>
      </w:r>
    </w:p>
    <w:p>
      <w:pPr>
        <w:pStyle w:val="Heading2"/>
      </w:pPr>
      <w:r>
        <w:rPr>
          <w:rFonts w:ascii="Arial" w:hAnsi="Arial"/>
          <w:b/>
          <w:color w:val="0F766E"/>
          <w:sz w:val="25"/>
        </w:rPr>
        <w:t>Punto de partida (datos declarados, julio 2026)</w:t>
      </w:r>
    </w:p>
    <w:p>
      <w:pPr>
        <w:pStyle w:val="ListBullet"/>
      </w:pPr>
      <w:r>
        <w:rPr>
          <w:b/>
        </w:rPr>
        <w:t xml:space="preserve">Facturación: </w:t>
      </w:r>
      <w:r>
        <w:t>~130.000 €/año, crecimiento ~40%. Deuda cero (hace 5 años: 82.000 € entre falso stock y póliza convertida en ICO de 38.000 €). La empresa está saneada y creciendo: hay algo que perder.</w:t>
      </w:r>
    </w:p>
    <w:p>
      <w:pPr>
        <w:pStyle w:val="ListBullet"/>
      </w:pPr>
      <w:r>
        <w:rPr>
          <w:b/>
        </w:rPr>
        <w:t xml:space="preserve">Socios: </w:t>
      </w:r>
      <w:r>
        <w:t>Joan 50% (administrador único) y su padre 50% (jubilado, no cobra ni cobrará, apoya HOSTELERO). Herederas del padre: dos hermanas de Joan; hay conversaciones para firmar que su 50% pase a Joan al fallecer. SIN FIRMAR.</w:t>
      </w:r>
    </w:p>
    <w:p>
      <w:pPr>
        <w:pStyle w:val="ListBullet"/>
      </w:pPr>
      <w:r>
        <w:rPr>
          <w:b/>
        </w:rPr>
        <w:t xml:space="preserve">Cartera: </w:t>
      </w:r>
      <w:r>
        <w:t>250 clientes, 200 activos, 80 con cuota recurrente. Distribuidor de Ágora POS (contrato con cláusulas 8.2 —no usar recursos de Ágora para competir— y 9 —confidencialidad indefinida—; sin no-compete post-contractual).</w:t>
      </w:r>
    </w:p>
    <w:p>
      <w:pPr>
        <w:pStyle w:val="ListBullet"/>
      </w:pPr>
      <w:r>
        <w:rPr>
          <w:b/>
        </w:rPr>
        <w:t xml:space="preserve">Transición: </w:t>
      </w:r>
      <w:r>
        <w:t>HOSTELERO en desarrollo "sala limpia", socio previsto Lluís, ronda pre-seed de 200k € en preparación, pacto de socios en borrador. Joan busca un "clon" para la operativa de la distribuidora.</w:t>
      </w:r>
    </w:p>
    <w:p>
      <w:pPr>
        <w:pStyle w:val="Heading1"/>
      </w:pPr>
      <w:r>
        <w:rPr>
          <w:rFonts w:ascii="Arial" w:hAnsi="Arial"/>
          <w:b/>
          <w:color w:val="0F2436"/>
          <w:sz w:val="30"/>
        </w:rPr>
        <w:t>Los números reales (extraídos de banco.db, 1-jul-2026)</w:t>
      </w:r>
    </w:p>
    <w:p>
      <w:pPr>
        <w:pStyle w:val="ListBullet"/>
      </w:pPr>
      <w:r>
        <w:rPr>
          <w:b/>
        </w:rPr>
        <w:t xml:space="preserve">Ingresos netos (series F/FD/APPF): </w:t>
      </w:r>
      <w:r>
        <w:t>2024: 104,7k € · 2025: 119,8k € · 2026 a 1-jul: 96,3k € (ritmo anualizado ~190k €, crecimiento real incluso mayor que el 40% declarado).</w:t>
      </w:r>
    </w:p>
    <w:p>
      <w:pPr>
        <w:pStyle w:val="ListBullet"/>
      </w:pPr>
      <w:r>
        <w:rPr>
          <w:b/>
        </w:rPr>
        <w:t xml:space="preserve">Dependencia directa de Ágora: 41% del ingreso. </w:t>
      </w:r>
      <w:r>
        <w:t>En 2025, 49,1k € (35,2k en cuotas Ágora revendidas + 13,9k en producto/licencias Ágora). En 2026 va por el 40%. Y buena parte del "resto" (Cashlogy, terminales PPC, impresoras, datáfonos) se vende sobre instalaciones Ágora: la exposición real supera el 50%.</w:t>
      </w:r>
    </w:p>
    <w:p>
      <w:pPr>
        <w:pStyle w:val="ListBullet"/>
      </w:pPr>
      <w:r>
        <w:rPr>
          <w:b/>
        </w:rPr>
        <w:t xml:space="preserve">La recurrencia NO es tuya. </w:t>
      </w:r>
      <w:r>
        <w:t>De 42,1k € recurrentes en 2025, solo 6,9k € (un 6% del ingreso) son cuota propia (mantenimiento, servicio técnico). El resto es cuota de Ágora que tú intermedias: si Ágora rescinde, tu "ingreso recurrente" se marcha con ellos. Las 80 cuotas domiciliadas son, en su mayoría, cuotas de Ágora.</w:t>
      </w:r>
    </w:p>
    <w:p>
      <w:pPr>
        <w:pStyle w:val="ListBullet"/>
      </w:pPr>
      <w:r>
        <w:rPr>
          <w:b/>
        </w:rPr>
        <w:t xml:space="preserve">Concentración de clientes 2026: </w:t>
      </w:r>
      <w:r>
        <w:t>ACZEDA 20,6% + BONITA MENORCA 13,3% = dos clientes concentran el 34% del ingreso del año.</w:t>
      </w:r>
    </w:p>
    <w:p>
      <w:pPr>
        <w:pStyle w:val="ListBullet"/>
      </w:pPr>
      <w:r>
        <w:rPr>
          <w:b/>
        </w:rPr>
        <w:t xml:space="preserve">Coste: </w:t>
      </w:r>
      <w:r>
        <w:t>IGT es tu mayor proveedor con mucha diferencia: 71,1k € en 2025 y 45,5k € en el primer semestre de 2026 (IVA incluido). Compras variables ligadas a lo que vendes.</w:t>
      </w:r>
    </w:p>
    <w:p>
      <w:pPr>
        <w:pStyle w:val="ListBullet"/>
      </w:pPr>
      <w:r>
        <w:rPr>
          <w:b/>
        </w:rPr>
        <w:t xml:space="preserve">Tesorería: </w:t>
      </w:r>
      <w:r>
        <w:t>saldos bancarios a fin de junio ≈ 2.400 € (Bankinter 330 + Sabadell 2.076); durante junio osciló entre 3k y 12k. Estructura mensual visible en banco: ~2.000 € nómina + ~550 € seg. social + impuestos/comisiones/seguros ≈ 3.300 €/mes, más ~2.100 €/mes de tarjeta.</w:t>
      </w:r>
    </w:p>
    <w:p>
      <w:r>
        <w:rPr>
          <w:b/>
          <w:i w:val="0"/>
          <w:color w:val="B03020"/>
          <w:sz w:val="21"/>
        </w:rPr>
        <w:t>Veredicto de runway: sin el ingreso Ágora, la cuota propia (6,9k €/año) no cubre ni dos meses de estructura, y la caja actual cubre semanas, no meses. La empresa está saneada de deuda pero opera SIN colchón: el "puente" hacia HOSTELERO existe solo mientras la relación con Ágora siga viva. E1 no es un riesgo crítico: es EXISTENCIAL. Y convierte E3 (subir la cuota PROPIA, la que no depende de Ágora) en la palanca más urgente de ingresos.</w:t>
      </w:r>
    </w:p>
    <w:p>
      <w:pPr>
        <w:pStyle w:val="Heading1"/>
      </w:pPr>
      <w:r>
        <w:rPr>
          <w:rFonts w:ascii="Arial" w:hAnsi="Arial"/>
          <w:b/>
          <w:color w:val="B03020"/>
          <w:sz w:val="30"/>
        </w:rPr>
        <w:t>Los siete escenarios de muerte</w:t>
      </w:r>
    </w:p>
    <w:p>
      <w:pPr>
        <w:pStyle w:val="Heading2"/>
      </w:pPr>
      <w:r>
        <w:rPr>
          <w:rFonts w:ascii="Arial" w:hAnsi="Arial"/>
          <w:b/>
          <w:color w:val="0F2436"/>
          <w:sz w:val="25"/>
        </w:rPr>
        <w:t>E1 · Ágora cortó el grifo antes de tiempo</w:t>
      </w:r>
    </w:p>
    <w:p>
      <w:r>
        <w:rPr>
          <w:b/>
          <w:color w:val="B46E00"/>
          <w:sz w:val="19"/>
        </w:rPr>
        <w:t>Probabilidad: ALTA   ·   Impacto: CRÍTICO</w:t>
      </w:r>
    </w:p>
    <w:p>
      <w:r>
        <w:rPr>
          <w:b/>
          <w:color w:val="0F2436"/>
        </w:rPr>
        <w:t xml:space="preserve">Qué pasó (visto desde 2029): </w:t>
      </w:r>
      <w:r>
        <w:t>Menorca es pequeña. Un cliente, un comercial de IGT o una demo vista por quien no debía: Ágora se enteró de HOSTELERO en 2026, alegó incumplimiento de la cláusula 8.2 (o simplemente no renovó y retuvo el rappel) y el ingreso puente —los 130k que financiaban la transición— murió 18 meses antes de que HOSTELERO facturara un euro. Da igual que la sala limpia fuera real: el pleito o la simple rescisión bastaron para asfixiar la caja.</w:t>
      </w:r>
    </w:p>
    <w:p>
      <w:r>
        <w:rPr>
          <w:b/>
          <w:color w:val="B46E00"/>
        </w:rPr>
        <w:t xml:space="preserve">Señales tempranas: </w:t>
      </w:r>
      <w:r>
        <w:t>Preguntas inusuales de IGT; cambios en condiciones de canal o rappel; un comercial de Ágora visitando a tus clientes; cualquier material de HOSTELERO circulando por Menorca.</w:t>
      </w:r>
    </w:p>
    <w:p>
      <w:r>
        <w:rPr>
          <w:b/>
          <w:color w:val="0F766E"/>
        </w:rPr>
        <w:t xml:space="preserve">Contramedidas: </w:t>
      </w:r>
      <w:r/>
    </w:p>
    <w:p>
      <w:pPr>
        <w:pStyle w:val="ListBullet"/>
      </w:pPr>
      <w:r>
        <w:t>Dictamen del abogado sobre el contrato ANTES de cualquier movimiento público (ya está en tu lista: es el nº1 por algo).</w:t>
      </w:r>
    </w:p>
    <w:p>
      <w:pPr>
        <w:pStyle w:val="ListBullet"/>
      </w:pPr>
      <w:r>
        <w:t>Sala limpia documentada: registro fechado de que HOSTELERO no usa código, precios, portal ni know-how de Ágora. Es tu defensa si hay pleito.</w:t>
      </w:r>
    </w:p>
    <w:p>
      <w:pPr>
        <w:pStyle w:val="ListBullet"/>
      </w:pPr>
      <w:r>
        <w:t>No enseñar HOSTELERO a clientes actuales de Ágora ni pilotar en Menorca al principio: pilotos fuera de la isla o en locales sin relación con Ágora.</w:t>
      </w:r>
    </w:p>
    <w:p>
      <w:pPr>
        <w:pStyle w:val="ListBullet"/>
      </w:pPr>
      <w:r>
        <w:t>Calendario de salida planificado: preaviso correcto y no cancelar antes de fin de año (perderías el rappel).</w:t>
      </w:r>
    </w:p>
    <w:p>
      <w:pPr>
        <w:pStyle w:val="ListBullet"/>
      </w:pPr>
      <w:r>
        <w:t>Calcular hoy cuántos meses sobrevive la estructura si el ingreso Ágora cae a cero mañana. Ese número manda sobre todo lo demás.</w:t>
      </w:r>
    </w:p>
    <w:p>
      <w:pPr>
        <w:pStyle w:val="Heading2"/>
      </w:pPr>
      <w:r>
        <w:rPr>
          <w:rFonts w:ascii="Arial" w:hAnsi="Arial"/>
          <w:b/>
          <w:color w:val="0F2436"/>
          <w:sz w:val="25"/>
        </w:rPr>
        <w:t>E2 · El 50% del padre se quedó sin firmar</w:t>
      </w:r>
    </w:p>
    <w:p>
      <w:r>
        <w:rPr>
          <w:b/>
          <w:color w:val="B46E00"/>
          <w:sz w:val="19"/>
        </w:rPr>
        <w:t>Probabilidad: MEDIA   ·   Impacto: CRÍTICO</w:t>
      </w:r>
    </w:p>
    <w:p>
      <w:r>
        <w:rPr>
          <w:b/>
          <w:color w:val="0F2436"/>
        </w:rPr>
        <w:t xml:space="preserve">Qué pasó (visto desde 2029): </w:t>
      </w:r>
      <w:r>
        <w:t>El documento sucesorio se siguió "hablando" hasta que dejó de poder firmarse. Las dos hermanas heredaron el 50%, con legítimas de por medio y sin pacto de socios. Resultado: junta bloqueada al 50/50, o una exigencia de compra que una empresa de 130k de facturación no puede pagar, justo cuando Joan estaba a caballo entre dos proyectos. La empresa no murió de mercado: murió de notaría pendiente.</w:t>
      </w:r>
    </w:p>
    <w:p>
      <w:r>
        <w:rPr>
          <w:b/>
          <w:color w:val="B46E00"/>
        </w:rPr>
        <w:t xml:space="preserve">Señales tempranas: </w:t>
      </w:r>
      <w:r>
        <w:t>La señal es una sola y ya está encendida: el documento lleva meses en conversación y sigue sin firma.</w:t>
      </w:r>
    </w:p>
    <w:p>
      <w:r>
        <w:rPr>
          <w:b/>
          <w:color w:val="0F766E"/>
        </w:rPr>
        <w:t xml:space="preserve">Contramedidas: </w:t>
      </w:r>
      <w:r/>
    </w:p>
    <w:p>
      <w:pPr>
        <w:pStyle w:val="ListBullet"/>
      </w:pPr>
      <w:r>
        <w:t>Cerrarlo este trimestre en notaría. Opciones a plantear: pacto sucesorio (válidos en Menorca desde la reforma de 2017 de la Compilación balear), transmisión en vida con reserva de usufructo, o cláusulas estatutarias de adquisición preferente con método de valoración pactado.</w:t>
      </w:r>
    </w:p>
    <w:p>
      <w:pPr>
        <w:pStyle w:val="ListBullet"/>
      </w:pPr>
      <w:r>
        <w:t>Las legítimas de tus hermanas no desaparecen por un papel privado: el instrumento debe contemplar compensación o renuncia válida. Notario, no documento casero.</w:t>
      </w:r>
    </w:p>
    <w:p>
      <w:pPr>
        <w:pStyle w:val="ListBullet"/>
      </w:pPr>
      <w:r>
        <w:t>Espejo: definir también qué pasa con TU 50% si faltas tú. Hoy la respuesta es "mi padre jubilado se queda solo con una empresa técnica que no puede operar".</w:t>
      </w:r>
    </w:p>
    <w:p>
      <w:pPr>
        <w:pStyle w:val="ListBullet"/>
      </w:pPr>
      <w:r>
        <w:t>Aprovechar y firmar un mini-pacto de socios JS Tech (padre-hijo) que autorice por escrito la dedicación parcial de Joan a HOSTELERO: hoy el apoyo es verbal.</w:t>
      </w:r>
    </w:p>
    <w:p>
      <w:pPr>
        <w:pStyle w:val="Heading2"/>
      </w:pPr>
      <w:r>
        <w:rPr>
          <w:rFonts w:ascii="Arial" w:hAnsi="Arial"/>
          <w:b/>
          <w:color w:val="0F2436"/>
          <w:sz w:val="25"/>
        </w:rPr>
        <w:t>E3 · El clon no llegó (o llegó tarde)</w:t>
      </w:r>
    </w:p>
    <w:p>
      <w:r>
        <w:rPr>
          <w:b/>
          <w:color w:val="B46E00"/>
          <w:sz w:val="19"/>
        </w:rPr>
        <w:t>Probabilidad: ALTA   ·   Impacto: ALTO</w:t>
      </w:r>
    </w:p>
    <w:p>
      <w:r>
        <w:rPr>
          <w:b/>
          <w:color w:val="0F2436"/>
        </w:rPr>
        <w:t xml:space="preserve">Qué pasó (visto desde 2029): </w:t>
      </w:r>
      <w:r>
        <w:t>Joan saltó a HOSTELERO sin haber cerrado el relevo operativo. Las averías empezaron a tardar, las 80 cuotas —el único ingreso defendible— se erosionaron, y en un mercado-isla donde todos se conocen la reputación se fue en dos temporadas. Cuando HOSTELERO tropezó, ya no había distribuidora sana a la que volver. El plan B murió por atender el plan A.</w:t>
      </w:r>
    </w:p>
    <w:p>
      <w:r>
        <w:rPr>
          <w:b/>
          <w:color w:val="B46E00"/>
        </w:rPr>
        <w:t xml:space="preserve">Señales tempranas: </w:t>
      </w:r>
      <w:r>
        <w:t>Tiempo de respuesta de averías subiendo; primeras bajas de cuota; tú haciendo soporte a las 23:00; el "clon" lleva 6 meses siendo una intención.</w:t>
      </w:r>
    </w:p>
    <w:p>
      <w:r>
        <w:rPr>
          <w:b/>
          <w:color w:val="0F766E"/>
        </w:rPr>
        <w:t xml:space="preserve">Contramedidas: </w:t>
      </w:r>
      <w:r/>
    </w:p>
    <w:p>
      <w:pPr>
        <w:pStyle w:val="ListBullet"/>
      </w:pPr>
      <w:r>
        <w:t>Contratar y formar al técnico 6-9 meses ANTES del salto, no después. Es gasto que la caja saneada puede absorber y es el seguro de vida del ingreso puente.</w:t>
      </w:r>
    </w:p>
    <w:p>
      <w:pPr>
        <w:pStyle w:val="ListBullet"/>
      </w:pPr>
      <w:r>
        <w:t>Documentar la operativa (las apps de averías y el panel contable ya hacen media documentación: úsalo como manual).</w:t>
      </w:r>
    </w:p>
    <w:p>
      <w:pPr>
        <w:pStyle w:val="ListBullet"/>
      </w:pPr>
      <w:r>
        <w:t>Subir la recurrencia: 80 de 200 activos con cuota es el 40%. Cada punto de recurrencia es un mes más de runway. Objetivo razonable: que las cuotas cubran los costes fijos solas.</w:t>
      </w:r>
    </w:p>
    <w:p>
      <w:pPr>
        <w:pStyle w:val="ListBullet"/>
      </w:pPr>
      <w:r>
        <w:t>Definir un SLA mínimo interno y medirlo: es el termómetro de este escenario.</w:t>
      </w:r>
    </w:p>
    <w:p>
      <w:pPr>
        <w:pStyle w:val="Heading2"/>
      </w:pPr>
      <w:r>
        <w:rPr>
          <w:rFonts w:ascii="Arial" w:hAnsi="Arial"/>
          <w:b/>
          <w:color w:val="0F2436"/>
          <w:sz w:val="25"/>
        </w:rPr>
        <w:t>E4 · HOSTELERO vampirizó a JS Technology</w:t>
      </w:r>
    </w:p>
    <w:p>
      <w:r>
        <w:rPr>
          <w:b/>
          <w:color w:val="B46E00"/>
          <w:sz w:val="19"/>
        </w:rPr>
        <w:t>Probabilidad: MEDIA-ALTA   ·   Impacto: ALTO</w:t>
      </w:r>
    </w:p>
    <w:p>
      <w:r>
        <w:rPr>
          <w:b/>
          <w:color w:val="0F2436"/>
        </w:rPr>
        <w:t xml:space="preserve">Qué pasó (visto desde 2029): </w:t>
      </w:r>
      <w:r>
        <w:t>Sin separación formal, las horas de Joan y la caja de la sociedad 50/50 financiaron durante dos años un producto cuya propiedad intelectual acabó en otra sociedad con Lluís. Triple conflicto retrospectivo: el padre (socio de lo que pagó), Lluís (socio de lo que se llevó el valor) y Hacienda (operaciones vinculadas sin valorar). La discusión societaria se comió la energía que necesitaba el producto.</w:t>
      </w:r>
    </w:p>
    <w:p>
      <w:r>
        <w:rPr>
          <w:b/>
          <w:color w:val="B46E00"/>
        </w:rPr>
        <w:t xml:space="preserve">Señales tempranas: </w:t>
      </w:r>
      <w:r>
        <w:t>Gastos de HOSTELERO pagados por JS Tech; horas de distribuidora cayendo sin acuerdo escrito; el pacto con Lluís sin firmar mientras el código crece.</w:t>
      </w:r>
    </w:p>
    <w:p>
      <w:r>
        <w:rPr>
          <w:b/>
          <w:color w:val="0F766E"/>
        </w:rPr>
        <w:t xml:space="preserve">Contramedidas: </w:t>
      </w:r>
      <w:r/>
    </w:p>
    <w:p>
      <w:pPr>
        <w:pStyle w:val="ListBullet"/>
      </w:pPr>
      <w:r>
        <w:t>Sociedad nueva para HOSTELERO desde el inicio, con contabilidad propia. Ni un gasto cruzado sin factura entre sociedades.</w:t>
      </w:r>
    </w:p>
    <w:p>
      <w:pPr>
        <w:pStyle w:val="ListBullet"/>
      </w:pPr>
      <w:r>
        <w:t>Mantener tu criterio ya definido: el código es de Joan y no se aporta a la NewCo hasta cerrar equity + salario en el pacto con Lluís.</w:t>
      </w:r>
    </w:p>
    <w:p>
      <w:pPr>
        <w:pStyle w:val="ListBullet"/>
      </w:pPr>
      <w:r>
        <w:t>Acuerdo escrito con tu padre (ver E2) sobre tu dedicación y sobre qué recibe JS Tech a cambio, aunque sea simbólico.</w:t>
      </w:r>
    </w:p>
    <w:p>
      <w:pPr>
        <w:pStyle w:val="ListBullet"/>
      </w:pPr>
      <w:r>
        <w:t>El panel contable de Raquel es tu aliado aquí: contabilidad limpia y trazable es exactamente lo que evita este escenario.</w:t>
      </w:r>
    </w:p>
    <w:p>
      <w:pPr>
        <w:pStyle w:val="Heading2"/>
      </w:pPr>
      <w:r>
        <w:rPr>
          <w:rFonts w:ascii="Arial" w:hAnsi="Arial"/>
          <w:b/>
          <w:color w:val="0F2436"/>
          <w:sz w:val="25"/>
        </w:rPr>
        <w:t>E5 · La ronda no llegó y Lluís se cayó</w:t>
      </w:r>
    </w:p>
    <w:p>
      <w:r>
        <w:rPr>
          <w:b/>
          <w:color w:val="B46E00"/>
          <w:sz w:val="19"/>
        </w:rPr>
        <w:t>Probabilidad: MEDIA   ·   Impacto: ALTO</w:t>
      </w:r>
    </w:p>
    <w:p>
      <w:r>
        <w:rPr>
          <w:b/>
          <w:color w:val="0F2436"/>
        </w:rPr>
        <w:t xml:space="preserve">Qué pasó (visto desde 2029): </w:t>
      </w:r>
      <w:r>
        <w:t>El pre-seed de 200k no se cerró (o se cerró tarde, o Lluís se retiró). Joan ya estaba a tiempo completo, sin colchón personal y sin salario, y quemó la caja de JS Tech para vivir. Volvió a una distribuidora deteriorada (E3) con la relación Ágora tocada (E1). Los escenarios se encadenaron: éste fue el detonante.</w:t>
      </w:r>
    </w:p>
    <w:p>
      <w:r>
        <w:rPr>
          <w:b/>
          <w:color w:val="B46E00"/>
        </w:rPr>
        <w:t xml:space="preserve">Señales tempranas: </w:t>
      </w:r>
      <w:r>
        <w:t>La ronda se desliza trimestre a trimestre; el pacto con Lluís sigue en borrador; tu cuenta personal baja.</w:t>
      </w:r>
    </w:p>
    <w:p>
      <w:r>
        <w:rPr>
          <w:b/>
          <w:color w:val="0F766E"/>
        </w:rPr>
        <w:t xml:space="preserve">Contramedidas: </w:t>
      </w:r>
      <w:r/>
    </w:p>
    <w:p>
      <w:pPr>
        <w:pStyle w:val="ListBullet"/>
      </w:pPr>
      <w:r>
        <w:t>Mantener tu hito nº1 como condición dura e innegociable: pacto firmado + salario financiado ANTES del salto a tiempo completo.</w:t>
      </w:r>
    </w:p>
    <w:p>
      <w:pPr>
        <w:pStyle w:val="ListBullet"/>
      </w:pPr>
      <w:r>
        <w:t>Regla de los 12 meses: no dejar el ingreso Ágora sin 12 meses de salario asegurados en la NewCo.</w:t>
      </w:r>
    </w:p>
    <w:p>
      <w:pPr>
        <w:pStyle w:val="ListBullet"/>
      </w:pPr>
      <w:r>
        <w:t>Conseguir 2-3 pilotos de pago antes de la ronda: reducen la dependencia del dinero de terceros y suben la valoración.</w:t>
      </w:r>
    </w:p>
    <w:p>
      <w:pPr>
        <w:pStyle w:val="ListBullet"/>
      </w:pPr>
      <w:r>
        <w:t>Plan B explícito si Lluís no entra: ¿HOSTELERO en modo bootstrap lento financiado por la distribuidora sana? Solo funciona si E2 y E3 están resueltos.</w:t>
      </w:r>
    </w:p>
    <w:p>
      <w:pPr>
        <w:pStyle w:val="Heading2"/>
      </w:pPr>
      <w:r>
        <w:rPr>
          <w:rFonts w:ascii="Arial" w:hAnsi="Arial"/>
          <w:b/>
          <w:color w:val="0F2436"/>
          <w:sz w:val="25"/>
        </w:rPr>
        <w:t>E6 · El producto no aguantó el contacto con la realidad</w:t>
      </w:r>
    </w:p>
    <w:p>
      <w:r>
        <w:rPr>
          <w:b/>
          <w:color w:val="B46E00"/>
          <w:sz w:val="19"/>
        </w:rPr>
        <w:t>Probabilidad: MEDIA   ·   Impacto: MEDIO-ALTO</w:t>
      </w:r>
    </w:p>
    <w:p>
      <w:r>
        <w:rPr>
          <w:b/>
          <w:color w:val="0F2436"/>
        </w:rPr>
        <w:t xml:space="preserve">Qué pasó (visto desde 2029): </w:t>
      </w:r>
      <w:r>
        <w:t>HOSTELERO era excelente en demo y frágil en un sábado de agosto: sin cumplimiento fiscal certificado (VeriFactu/antifraude), sin soporte al nivel que exige la hostelería, y con un solo desarrollador que era además el comercial, el instalador y el CEO. Los primeros pilotos reales lo rompieron y el boca-oreja hizo el resto.</w:t>
      </w:r>
    </w:p>
    <w:p>
      <w:r>
        <w:rPr>
          <w:b/>
          <w:color w:val="B46E00"/>
        </w:rPr>
        <w:t xml:space="preserve">Señales tempranas: </w:t>
      </w:r>
      <w:r>
        <w:t>Pilotos solo con conocidos; la lista de "pendiente técnico" crece más rápido que la de clientes; cero horas invertidas en el módulo fiscal.</w:t>
      </w:r>
    </w:p>
    <w:p>
      <w:r>
        <w:rPr>
          <w:b/>
          <w:color w:val="0F766E"/>
        </w:rPr>
        <w:t xml:space="preserve">Contramedidas: </w:t>
      </w:r>
      <w:r/>
    </w:p>
    <w:p>
      <w:pPr>
        <w:pStyle w:val="ListBullet"/>
      </w:pPr>
      <w:r>
        <w:t>Cumplimiento fiscal (VeriFactu / Reglamento de sistemas de facturación) como prioridad de roadmap nº1: sin eso no hay producto vendible en España, por bueno que sea el Maître IA.</w:t>
      </w:r>
    </w:p>
    <w:p>
      <w:pPr>
        <w:pStyle w:val="ListBullet"/>
      </w:pPr>
      <w:r>
        <w:t>Pilotos reales, de pago aunque sea simbólico, en locales sin vínculo personal, y al menos uno en temporada alta.</w:t>
      </w:r>
    </w:p>
    <w:p>
      <w:pPr>
        <w:pStyle w:val="ListBullet"/>
      </w:pPr>
      <w:r>
        <w:t>No vender por delante de la capacidad de soporte: cada cliente sin soportar es marketing negativo.</w:t>
      </w:r>
    </w:p>
    <w:p>
      <w:pPr>
        <w:pStyle w:val="ListBullet"/>
      </w:pPr>
      <w:r>
        <w:t>La ronda debe pagar un segundo técnico pronto: el "bus factor" de HOSTELERO hoy es 1.</w:t>
      </w:r>
    </w:p>
    <w:p>
      <w:pPr>
        <w:pStyle w:val="Heading2"/>
      </w:pPr>
      <w:r>
        <w:rPr>
          <w:rFonts w:ascii="Arial" w:hAnsi="Arial"/>
          <w:b/>
          <w:color w:val="0F2436"/>
          <w:sz w:val="25"/>
        </w:rPr>
        <w:t>E7 · El ingreso actual era menos sólido de lo que parecía — CONFIRMADO con datos</w:t>
      </w:r>
    </w:p>
    <w:p>
      <w:r>
        <w:rPr>
          <w:b/>
          <w:color w:val="B46E00"/>
          <w:sz w:val="19"/>
        </w:rPr>
        <w:t>Probabilidad: CONFIRMADA (parcial)   ·   Impacto: ALTO</w:t>
      </w:r>
    </w:p>
    <w:p>
      <w:r>
        <w:rPr>
          <w:b/>
          <w:color w:val="0F2436"/>
        </w:rPr>
        <w:t xml:space="preserve">Qué pasó (visto desde 2029): </w:t>
      </w:r>
      <w:r>
        <w:t>Ya no es hipótesis: los datos de banco.db lo confirman. Solo el 6% del ingreso es recurrencia propia; el 41% depende contractualmente de Ágora; dos clientes concentran el 34% del año; y la tesorería a 1 de julio ronda los 2.400 €. El crecimiento es real y fuerte, pero es un crecimiento apalancado en el canal de otro y sin caja de seguridad. En 2029, cualquier tropiezo de E1, E5 o la pérdida de UN cliente grande bastó para romper el puente.</w:t>
      </w:r>
    </w:p>
    <w:p>
      <w:r>
        <w:rPr>
          <w:b/>
          <w:color w:val="B46E00"/>
        </w:rPr>
        <w:t xml:space="preserve">Señales tempranas: </w:t>
      </w:r>
      <w:r>
        <w:t>Saldo bancario por debajo de un mes de estructura (~5.500 €); ACZEDA o BONITA reduciendo pedidos; el % de cuota propia estancado en un dígito.</w:t>
      </w:r>
    </w:p>
    <w:p>
      <w:r>
        <w:rPr>
          <w:b/>
          <w:color w:val="0F766E"/>
        </w:rPr>
        <w:t xml:space="preserve">Contramedidas: </w:t>
      </w:r>
      <w:r/>
    </w:p>
    <w:p>
      <w:pPr>
        <w:pStyle w:val="ListBullet"/>
      </w:pPr>
      <w:r>
        <w:t>Construir colchón: regla de destinar excedente hasta acumular 3-6 meses de estructura (~17-33k €) antes del salto. Hoy hay ~2,4k.</w:t>
      </w:r>
    </w:p>
    <w:p>
      <w:pPr>
        <w:pStyle w:val="ListBullet"/>
      </w:pPr>
      <w:r>
        <w:t>Convertir clientes de "cuota Ágora" en "cuota Ágora + mantenimiento JS-Tech": cada euro de cuota propia es inmune a E1.</w:t>
      </w:r>
    </w:p>
    <w:p>
      <w:pPr>
        <w:pStyle w:val="ListBullet"/>
      </w:pPr>
      <w:r>
        <w:t>Vigilar la concentración: plan de contacto y contrato anual con ACZEDA y BONITA.</w:t>
      </w:r>
    </w:p>
    <w:p>
      <w:pPr>
        <w:pStyle w:val="ListBullet"/>
      </w:pPr>
      <w:r>
        <w:t>Cerrar la contabilidad pendiente: hay ~24k € de 2026 en facturas "PDTE CONTABILIZAR" sin clasificar — el margen real es invisible hasta que Raquel las procese.</w:t>
      </w:r>
    </w:p>
    <w:p>
      <w:pPr>
        <w:pStyle w:val="Heading1"/>
      </w:pPr>
      <w:r>
        <w:rPr>
          <w:rFonts w:ascii="Arial" w:hAnsi="Arial"/>
          <w:b/>
          <w:color w:val="0F2436"/>
          <w:sz w:val="30"/>
        </w:rPr>
        <w:t>Mapa de riesgo (resumen)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fill="0F243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0F2436"/>
          </w:tcPr>
          <w:p>
            <w:r/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1134"/>
            <w:shd w:val="clear" w:fill="0F2436"/>
          </w:tcPr>
          <w:p>
            <w:r/>
            <w:r>
              <w:rPr>
                <w:b/>
                <w:color w:val="FFFFFF"/>
                <w:sz w:val="19"/>
              </w:rPr>
              <w:t>Prob.</w:t>
            </w:r>
          </w:p>
        </w:tc>
        <w:tc>
          <w:tcPr>
            <w:tcW w:type="dxa" w:w="1134"/>
            <w:shd w:val="clear" w:fill="0F2436"/>
          </w:tcPr>
          <w:p>
            <w:r/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3969"/>
            <w:shd w:val="clear" w:fill="0F2436"/>
          </w:tcPr>
          <w:p>
            <w:r/>
            <w:r>
              <w:rPr>
                <w:b/>
                <w:color w:val="FFFFFF"/>
                <w:sz w:val="19"/>
              </w:rPr>
              <w:t>Contramedida clave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E1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Ágora rescinde / no renueva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Crítico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Dictamen legal + sala limpia documentada + no pilotar en Menorca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E2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Sucesión del 50% sin firmar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Crítico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Notaría este trimestre (pacto sucesorio balear / usufructo / estatutos)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E3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Relevo operativo tardío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Contratar al "clon" 6-9 meses antes del salto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E4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Mezcla JS Tech / HOSTELERO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Media-alta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NewCo separada + código de Joan hasta firmar pacto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E5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Ronda fallida / Lluís se cae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Hito nº1 innegociable + regla de los 12 meses de salario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E6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Producto frágil en real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Medio-alto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VeriFactu prioridad 1 + pilotos de pago reales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E7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Ingreso puente sobrestimado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Colchón 3-6 meses + subir cuota propia (hoy 6%) + vigilar top-2 clientes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0F766E"/>
          <w:sz w:val="30"/>
        </w:rPr>
        <w:t>Los cinco movimientos del trimestre (jul-sep 2026)</w:t>
      </w:r>
    </w:p>
    <w:p>
      <w:r>
        <w:rPr>
          <w:b w:val="0"/>
          <w:i w:val="0"/>
          <w:sz w:val="21"/>
        </w:rPr>
        <w:t>Si solo haces cinco cosas antes de octubre, que sean estas. Las dos primeras no cuestan casi nada y desactivan los dos escenarios críticos.</w:t>
      </w:r>
    </w:p>
    <w:p>
      <w:pPr>
        <w:pStyle w:val="ListBullet"/>
      </w:pPr>
      <w:r>
        <w:rPr>
          <w:b/>
        </w:rPr>
        <w:t xml:space="preserve">1. Notaría (E2). </w:t>
      </w:r>
      <w:r>
        <w:t>Convertir la conversación sobre el 50% del padre en un instrumento firmado. Es la contramedida con mejor ratio coste/riesgo de todo el documento.</w:t>
      </w:r>
    </w:p>
    <w:p>
      <w:pPr>
        <w:pStyle w:val="ListBullet"/>
      </w:pPr>
      <w:r>
        <w:rPr>
          <w:b/>
        </w:rPr>
        <w:t xml:space="preserve">2. Abogado (E1). </w:t>
      </w:r>
      <w:r>
        <w:t>Dictamen sobre el contrato Ágora usando la consulta ya preparada (Consulta_legal_Agora_HOSTELERO.docx), ANTES de cualquier demo pública o piloto.</w:t>
      </w:r>
    </w:p>
    <w:p>
      <w:pPr>
        <w:pStyle w:val="ListBullet"/>
      </w:pPr>
      <w:r>
        <w:rPr>
          <w:b/>
        </w:rPr>
        <w:t xml:space="preserve">3. El clon (E3). </w:t>
      </w:r>
      <w:r>
        <w:t>Pasar de "me estoy buscando" a oferta publicada y fecha de incorporación. El relevo tarda meses en ser autónomo.</w:t>
      </w:r>
    </w:p>
    <w:p>
      <w:pPr>
        <w:pStyle w:val="ListBullet"/>
      </w:pPr>
      <w:r>
        <w:rPr>
          <w:b/>
        </w:rPr>
        <w:t xml:space="preserve">4. Separación societaria (E4). </w:t>
      </w:r>
      <w:r>
        <w:t>Decidir estructura de la NewCo HOSTELERO y dejar por escrito la regla de no-mezcla con JS Tech.</w:t>
      </w:r>
    </w:p>
    <w:p>
      <w:pPr>
        <w:pStyle w:val="ListBullet"/>
      </w:pPr>
      <w:r>
        <w:rPr>
          <w:b/>
        </w:rPr>
        <w:t xml:space="preserve">5. El número que manda (E5/E7) — YA CALCULADO. </w:t>
      </w:r>
      <w:r>
        <w:t>Recurrencia propia 6% · dependencia Ágora 41% directa · caja ~2.400 €. Traducción: hoy NO hay puente sin Ágora. Antes del salto: colchón de 3-6 meses de estructura y cuota propia cubriendo los fijos (~3.300 €/mes).</w:t>
      </w:r>
    </w:p>
    <w:p>
      <w:pPr>
        <w:pStyle w:val="Heading1"/>
      </w:pPr>
      <w:r>
        <w:rPr>
          <w:rFonts w:ascii="Arial" w:hAnsi="Arial"/>
          <w:b/>
          <w:color w:val="0F2436"/>
          <w:sz w:val="30"/>
        </w:rPr>
        <w:t>Lo que aún falta por ver</w:t>
      </w:r>
    </w:p>
    <w:p>
      <w:r>
        <w:rPr>
          <w:b w:val="0"/>
          <w:i w:val="0"/>
          <w:sz w:val="21"/>
        </w:rPr>
        <w:t>Los números anteriores salen de banco.db (facturación TPV, facturas de proveedor y movimientos bancarios). Quedan tres huecos: (1) el margen neto real solo lo tiene la contabilidad oficial de SisConta (Raquel) — nóminas completas y amortizaciones no están en la base; (2) hay ~24k € de facturas de proveedor 2026 marcadas "PDTE CONTABILIZAR" sin clasificar; (3) el detalle del rappel de Ágora (cuánto ingreso anual es rappel y cuándo se cobra) no aparece desglosado. Con eso, el mapa queda completo.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