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2436"/>
          <w:sz w:val="34"/>
        </w:rPr>
        <w:t>Consulta legal — Acuerdo de Partner Ágora y proyecto HOSTELERO</w:t>
      </w:r>
    </w:p>
    <w:p>
      <w:pPr>
        <w:spacing w:after="200" w:before="0"/>
      </w:pPr>
      <w:r>
        <w:rPr>
          <w:rFonts w:ascii="Arial" w:hAnsi="Arial"/>
          <w:b w:val="0"/>
          <w:i/>
          <w:color w:val="555555"/>
          <w:sz w:val="21"/>
        </w:rPr>
        <w:t>Documento de apoyo para consulta con abogado · CONFIDENCIAL</w:t>
      </w:r>
    </w:p>
    <w:p>
      <w:pPr>
        <w:spacing w:before="160" w:after="80"/>
      </w:pPr>
      <w:r>
        <w:rPr>
          <w:rFonts w:ascii="Arial" w:hAnsi="Arial"/>
          <w:b/>
          <w:color w:val="0F2436"/>
          <w:sz w:val="30"/>
        </w:rPr>
        <w:t>1. Partes y documento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Distribuidor: </w:t>
      </w:r>
      <w:r>
        <w:rPr>
          <w:rFonts w:ascii="Arial" w:hAnsi="Arial"/>
          <w:b w:val="0"/>
          <w:color w:val="1E293B"/>
          <w:sz w:val="21"/>
        </w:rPr>
        <w:t>JS TECHNOLOGY MENORCA, S.L. (firmado por Joan Serra Miret, 14 may 2026).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Proveedor: </w:t>
      </w:r>
      <w:r>
        <w:rPr>
          <w:rFonts w:ascii="Arial" w:hAnsi="Arial"/>
          <w:b w:val="0"/>
          <w:color w:val="1E293B"/>
          <w:sz w:val="21"/>
        </w:rPr>
        <w:t>IGT MICROELECTRONICS, S.L. (titular de Ágora).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Contrato: </w:t>
      </w:r>
      <w:r>
        <w:rPr>
          <w:rFonts w:ascii="Arial" w:hAnsi="Arial"/>
          <w:b w:val="0"/>
          <w:color w:val="1E293B"/>
          <w:sz w:val="21"/>
        </w:rPr>
        <w:t>“Acuerdo de Partner Ágora 2026” — licencia de distribución NO exclusiva, territorio España.</w:t>
      </w:r>
    </w:p>
    <w:p>
      <w:pPr>
        <w:spacing w:before="160" w:after="80"/>
      </w:pPr>
      <w:r>
        <w:rPr>
          <w:rFonts w:ascii="Arial" w:hAnsi="Arial"/>
          <w:b/>
          <w:color w:val="0F2436"/>
          <w:sz w:val="30"/>
        </w:rPr>
        <w:t>2. Objetivo de la consulta</w:t>
      </w:r>
    </w:p>
    <w:p>
      <w:pPr>
        <w:spacing w:after="80" w:before="0"/>
      </w:pPr>
      <w:r>
        <w:rPr>
          <w:rFonts w:ascii="Arial" w:hAnsi="Arial"/>
          <w:b w:val="0"/>
          <w:i w:val="0"/>
          <w:color w:val="1E293B"/>
          <w:sz w:val="21"/>
        </w:rPr>
        <w:t>Determinar si JS Technology / Joan Serra pueden DESARROLLAR y COMERCIALIZAR un POS propio (HOSTELERO) sin incumplir este acuerdo, y en su caso bajo qué condiciones, restricciones y calendario de salida.</w:t>
      </w:r>
    </w:p>
    <w:p>
      <w:pPr>
        <w:spacing w:before="160" w:after="80"/>
      </w:pPr>
      <w:r>
        <w:rPr>
          <w:rFonts w:ascii="Arial" w:hAnsi="Arial"/>
          <w:b/>
          <w:color w:val="0F2436"/>
          <w:sz w:val="30"/>
        </w:rPr>
        <w:t>3. Lectura preliminar (a confirmar por el abogado)</w:t>
      </w:r>
    </w:p>
    <w:p>
      <w:pPr>
        <w:spacing w:after="80" w:before="0"/>
      </w:pPr>
      <w:r>
        <w:rPr>
          <w:rFonts w:ascii="Arial" w:hAnsi="Arial"/>
          <w:b/>
          <w:i w:val="0"/>
          <w:color w:val="0F2436"/>
          <w:sz w:val="21"/>
        </w:rPr>
        <w:t>En este contrato NO figura un pacto de no competencia post-contractual</w:t>
      </w:r>
      <w:r>
        <w:rPr>
          <w:rFonts w:ascii="Arial" w:hAnsi="Arial"/>
          <w:b w:val="0"/>
          <w:i w:val="0"/>
          <w:color w:val="1E293B"/>
          <w:sz w:val="21"/>
        </w:rPr>
        <w:t xml:space="preserve"> que prohíba desarrollar o vender un producto competidor. Las limitaciones reales son de confidencialidad, propiedad intelectual y uso del acceso a Ágora.</w:t>
      </w:r>
    </w:p>
    <w:p>
      <w:pPr>
        <w:spacing w:before="160" w:after="80"/>
      </w:pPr>
      <w:r>
        <w:rPr>
          <w:rFonts w:ascii="Arial" w:hAnsi="Arial"/>
          <w:b/>
          <w:color w:val="0F2436"/>
          <w:sz w:val="30"/>
        </w:rPr>
        <w:t>4. Cláusulas relevantes (citas literales)</w:t>
      </w:r>
    </w:p>
    <w:p>
      <w:pPr>
        <w:spacing w:after="40" w:before="0"/>
      </w:pPr>
      <w:r>
        <w:rPr>
          <w:rFonts w:ascii="Arial" w:hAnsi="Arial"/>
          <w:b/>
          <w:i w:val="0"/>
          <w:color w:val="0F766E"/>
          <w:sz w:val="21"/>
        </w:rPr>
        <w:t>4.2.ii / Cláusula 8.2.ii — lo más parecido a un no-compete (alcance a aclarar):</w:t>
      </w:r>
    </w:p>
    <w:p>
      <w:pPr>
        <w:spacing w:after="120"/>
        <w:ind w:left="432"/>
      </w:pPr>
      <w:r>
        <w:rPr>
          <w:rFonts w:ascii="Arial" w:hAnsi="Arial"/>
          <w:i/>
          <w:color w:val="555555"/>
          <w:sz w:val="20"/>
        </w:rPr>
        <w:t>“No acceder a los servicios ni utilizarlos para crear u ofrecer soporte y/o ayudar a un tercero en la creación o el soporte de productos o servicios que entren en competencia con el de IGT.”</w:t>
      </w:r>
    </w:p>
    <w:p>
      <w:pPr>
        <w:spacing w:after="40" w:before="0"/>
      </w:pPr>
      <w:r>
        <w:rPr>
          <w:rFonts w:ascii="Arial" w:hAnsi="Arial"/>
          <w:b/>
          <w:i w:val="0"/>
          <w:color w:val="0F766E"/>
          <w:sz w:val="21"/>
        </w:rPr>
        <w:t>Cláusula 8.2.i — propiedad intelectual del software:</w:t>
      </w:r>
    </w:p>
    <w:p>
      <w:pPr>
        <w:spacing w:after="120"/>
        <w:ind w:left="432"/>
      </w:pPr>
      <w:r>
        <w:rPr>
          <w:rFonts w:ascii="Arial" w:hAnsi="Arial"/>
          <w:i/>
          <w:color w:val="555555"/>
          <w:sz w:val="20"/>
        </w:rPr>
        <w:t>“No modificar, realizar trabajos derivados, desensamblar, descompilar ni aplicar ingeniería inversa sobre el Software…”</w:t>
      </w:r>
    </w:p>
    <w:p>
      <w:pPr>
        <w:spacing w:after="80" w:before="0"/>
      </w:pPr>
      <w:r>
        <w:rPr>
          <w:rFonts w:ascii="Arial" w:hAnsi="Arial"/>
          <w:b/>
          <w:i w:val="0"/>
          <w:color w:val="0F766E"/>
          <w:sz w:val="21"/>
        </w:rPr>
        <w:t>Cláusula 8.1 — titularidad:</w:t>
      </w:r>
      <w:r>
        <w:rPr>
          <w:rFonts w:ascii="Arial" w:hAnsi="Arial"/>
          <w:b w:val="0"/>
          <w:i w:val="0"/>
          <w:color w:val="1E293B"/>
          <w:sz w:val="21"/>
        </w:rPr>
        <w:t xml:space="preserve"> IGT es titular de los derechos de autor, marcas y know-how del Software; la licencia de marca es solo durante la vigencia del contrato.</w:t>
      </w:r>
    </w:p>
    <w:p>
      <w:pPr>
        <w:spacing w:after="80" w:before="0"/>
      </w:pPr>
      <w:r>
        <w:rPr>
          <w:rFonts w:ascii="Arial" w:hAnsi="Arial"/>
          <w:b/>
          <w:i w:val="0"/>
          <w:color w:val="0F766E"/>
          <w:sz w:val="21"/>
        </w:rPr>
        <w:t>Cláusula 9 — confidencialidad (vigencia INDEFINIDA, sobrevive a la terminación):</w:t>
      </w:r>
      <w:r>
        <w:rPr>
          <w:rFonts w:ascii="Arial" w:hAnsi="Arial"/>
          <w:b w:val="0"/>
          <w:i w:val="0"/>
          <w:color w:val="1E293B"/>
          <w:sz w:val="21"/>
        </w:rPr>
        <w:t xml:space="preserve"> abarca precios de Ágora, funcionamiento no público del software, contenidos de formación y los datos del portal interno de distribuidores (incl. datos de registro de clientes).</w:t>
      </w:r>
    </w:p>
    <w:p>
      <w:pPr>
        <w:spacing w:after="80" w:before="0"/>
      </w:pPr>
      <w:r>
        <w:rPr>
          <w:rFonts w:ascii="Arial" w:hAnsi="Arial"/>
          <w:b/>
          <w:i w:val="0"/>
          <w:color w:val="0F766E"/>
          <w:sz w:val="21"/>
        </w:rPr>
        <w:t>Cláusula 4.1 / 4.2 — duración y salida:</w:t>
      </w:r>
      <w:r>
        <w:rPr>
          <w:rFonts w:ascii="Arial" w:hAnsi="Arial"/>
          <w:b w:val="0"/>
          <w:i w:val="0"/>
          <w:color w:val="1E293B"/>
          <w:sz w:val="21"/>
        </w:rPr>
        <w:t xml:space="preserve"> vigencia hasta fin de año natural con prórroga tácita; resolución con preaviso (1 mes el 1er año, escalando, máx. 6 meses). Resolución inmediata por difamación a IGT (4.2.iv), entre otras.</w:t>
      </w:r>
    </w:p>
    <w:p>
      <w:pPr>
        <w:spacing w:after="80" w:before="0"/>
      </w:pPr>
      <w:r>
        <w:rPr>
          <w:rFonts w:ascii="Arial" w:hAnsi="Arial"/>
          <w:b/>
          <w:i w:val="0"/>
          <w:color w:val="0F766E"/>
          <w:sz w:val="21"/>
        </w:rPr>
        <w:t>Cláusula 11:</w:t>
      </w:r>
      <w:r>
        <w:rPr>
          <w:rFonts w:ascii="Arial" w:hAnsi="Arial"/>
          <w:b w:val="0"/>
          <w:i w:val="0"/>
          <w:color w:val="1E293B"/>
          <w:sz w:val="21"/>
        </w:rPr>
        <w:t xml:space="preserve"> sin derecho a indemnización por clientela al terminar.</w:t>
      </w:r>
    </w:p>
    <w:p>
      <w:pPr>
        <w:spacing w:after="80" w:before="0"/>
      </w:pPr>
      <w:r>
        <w:rPr>
          <w:rFonts w:ascii="Arial" w:hAnsi="Arial"/>
          <w:b/>
          <w:i w:val="0"/>
          <w:color w:val="0F766E"/>
          <w:sz w:val="21"/>
        </w:rPr>
        <w:t>Anexo (rappel):</w:t>
      </w:r>
      <w:r>
        <w:rPr>
          <w:rFonts w:ascii="Arial" w:hAnsi="Arial"/>
          <w:b w:val="0"/>
          <w:i w:val="0"/>
          <w:color w:val="1E293B"/>
          <w:sz w:val="21"/>
        </w:rPr>
        <w:t xml:space="preserve"> cancelar el contrato antes de fin de año conlleva la pérdida del rappel acumulado.</w:t>
      </w:r>
    </w:p>
    <w:p>
      <w:pPr>
        <w:spacing w:before="160" w:after="80"/>
      </w:pPr>
      <w:r>
        <w:rPr>
          <w:rFonts w:ascii="Arial" w:hAnsi="Arial"/>
          <w:b/>
          <w:color w:val="0F2436"/>
          <w:sz w:val="30"/>
        </w:rPr>
        <w:t>5. Preguntas concretas para el abogado</w:t>
      </w:r>
    </w:p>
    <w:p>
      <w:pPr>
        <w:pStyle w:val="ListNumber"/>
        <w:spacing w:after="60"/>
      </w:pPr>
      <w:r>
        <w:rPr>
          <w:rFonts w:ascii="Arial" w:hAnsi="Arial"/>
          <w:color w:val="1E293B"/>
          <w:sz w:val="21"/>
        </w:rPr>
        <w:t>¿Confirma que NO existe un pacto de no competencia post-contractual en este acuerdo?</w:t>
      </w:r>
    </w:p>
    <w:p>
      <w:pPr>
        <w:pStyle w:val="ListNumber"/>
        <w:spacing w:after="60"/>
      </w:pPr>
      <w:r>
        <w:rPr>
          <w:rFonts w:ascii="Arial" w:hAnsi="Arial"/>
          <w:color w:val="1E293B"/>
          <w:sz w:val="21"/>
        </w:rPr>
        <w:t>¿Hasta dónde alcanza la cláusula 8.2.ii? ¿Prohíbe desarrollar un competidor con medios propios, o solo usar el acceso/recursos de Ágora para hacerlo?</w:t>
      </w:r>
    </w:p>
    <w:p>
      <w:pPr>
        <w:pStyle w:val="ListNumber"/>
        <w:spacing w:after="60"/>
      </w:pPr>
      <w:r>
        <w:rPr>
          <w:rFonts w:ascii="Arial" w:hAnsi="Arial"/>
          <w:color w:val="1E293B"/>
          <w:sz w:val="21"/>
        </w:rPr>
        <w:t>¿Puede JS Technology seguir siendo distribuidor de Ágora mientras desarrolla HOSTELERO, sin incumplir (buena fe contractual / 4.2.iv)? ¿Qué riesgo de resolución existe?</w:t>
      </w:r>
    </w:p>
    <w:p>
      <w:pPr>
        <w:pStyle w:val="ListNumber"/>
        <w:spacing w:after="60"/>
      </w:pPr>
      <w:r>
        <w:rPr>
          <w:rFonts w:ascii="Arial" w:hAnsi="Arial"/>
          <w:color w:val="1E293B"/>
          <w:sz w:val="21"/>
        </w:rPr>
        <w:t>¿Existe algún OTRO documento firmado por Joan a título personal (contrato laboral, NDA, pacto de socios) con cláusula de no competencia? (No está en este contrato.)</w:t>
      </w:r>
    </w:p>
    <w:p>
      <w:pPr>
        <w:pStyle w:val="ListNumber"/>
        <w:spacing w:after="60"/>
      </w:pPr>
      <w:r>
        <w:rPr>
          <w:rFonts w:ascii="Arial" w:hAnsi="Arial"/>
          <w:color w:val="1E293B"/>
          <w:sz w:val="21"/>
        </w:rPr>
        <w:t>Alcance práctico de la confidencialidad indefinida (cl. 9): ¿qué NO podemos usar al construir HOSTELERO (lista de clientes, precios, know-how) y cómo documentar un desarrollo “sala limpia”?</w:t>
      </w:r>
    </w:p>
    <w:p>
      <w:pPr>
        <w:pStyle w:val="ListNumber"/>
        <w:spacing w:after="60"/>
      </w:pPr>
      <w:r>
        <w:rPr>
          <w:rFonts w:ascii="Arial" w:hAnsi="Arial"/>
          <w:color w:val="1E293B"/>
          <w:sz w:val="21"/>
        </w:rPr>
        <w:t>Riesgo bajo la Ley de Competencia Desleal (3/1991) y la Ley de Secretos Empresariales (1/2019), especialmente al captar antiguos clientes de Ágora.</w:t>
      </w:r>
    </w:p>
    <w:p>
      <w:pPr>
        <w:pStyle w:val="ListNumber"/>
        <w:spacing w:after="60"/>
      </w:pPr>
      <w:r>
        <w:rPr>
          <w:rFonts w:ascii="Arial" w:hAnsi="Arial"/>
          <w:color w:val="1E293B"/>
          <w:sz w:val="21"/>
        </w:rPr>
        <w:t>Calendario óptimo de salida: preaviso aplicable, pérdida de rappel y momento (fin de año).</w:t>
      </w:r>
    </w:p>
    <w:p>
      <w:pPr>
        <w:pStyle w:val="ListNumber"/>
        <w:spacing w:after="60"/>
      </w:pPr>
      <w:r>
        <w:rPr>
          <w:rFonts w:ascii="Arial" w:hAnsi="Arial"/>
          <w:color w:val="1E293B"/>
          <w:sz w:val="21"/>
        </w:rPr>
        <w:t>Ley aplicable y jurisdicción (cláusula 14) en caso de conflicto.</w:t>
      </w:r>
    </w:p>
    <w:p>
      <w:pPr>
        <w:spacing w:before="160" w:after="80"/>
      </w:pPr>
      <w:r>
        <w:rPr>
          <w:rFonts w:ascii="Arial" w:hAnsi="Arial"/>
          <w:b/>
          <w:color w:val="0F2436"/>
          <w:sz w:val="30"/>
        </w:rPr>
        <w:t>6. Documentos a aportar a la consulta</w:t>
      </w:r>
    </w:p>
    <w:p>
      <w:pPr>
        <w:pStyle w:val="ListBullet"/>
        <w:spacing w:after="60"/>
      </w:pPr>
      <w:r>
        <w:rPr>
          <w:rFonts w:ascii="Arial" w:hAnsi="Arial"/>
          <w:b w:val="0"/>
          <w:color w:val="1E293B"/>
          <w:sz w:val="21"/>
        </w:rPr>
        <w:t>Este Acuerdo de Partner Ágora firmado (completo, con anexos).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E293B"/>
          <w:sz w:val="21"/>
        </w:rPr>
        <w:t>Cualquier contrato laboral o NDA firmado por Joan a título personal.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E293B"/>
          <w:sz w:val="21"/>
        </w:rPr>
        <w:t>Estatutos y relación de Joan con JS Technology Menorca, S.L.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E293B"/>
          <w:sz w:val="21"/>
        </w:rPr>
        <w:t>Comunicaciones relevantes con IGT (objetivos, rappel, avisos).</w:t>
      </w:r>
    </w:p>
    <w:p>
      <w:pPr>
        <w:spacing w:after="80" w:before="160"/>
      </w:pPr>
      <w:r>
        <w:rPr>
          <w:rFonts w:ascii="Arial" w:hAnsi="Arial"/>
          <w:b w:val="0"/>
          <w:i/>
          <w:color w:val="555555"/>
          <w:sz w:val="21"/>
        </w:rPr>
        <w:t>Nota: este documento es un apoyo preparado para ordenar la consulta; no sustituye el asesoramiento jurídico profesional.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