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W w:w="888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5055"/>
        <w:gridCol w:w="2160"/>
        <w:tblGridChange w:id="0">
          <w:tblGrid>
            <w:gridCol w:w="1665"/>
            <w:gridCol w:w="5055"/>
            <w:gridCol w:w="2160"/>
          </w:tblGrid>
        </w:tblGridChange>
      </w:tblGrid>
      <w:tr>
        <w:trPr>
          <w:cantSplit w:val="0"/>
          <w:trHeight w:val="570" w:hRule="atLeast"/>
          <w:tblHeader w:val="0"/>
        </w:trPr>
        <w:tc>
          <w:tcPr>
            <w:gridSpan w:val="3"/>
            <w:vAlign w:val="center"/>
          </w:tcPr>
          <w:p w:rsidR="00000000" w:rsidDel="00000000" w:rsidP="00000000" w:rsidRDefault="00000000" w:rsidRPr="00000000" w14:paraId="00000002">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summary of a paper about sustainability in NLP.</w:t>
            </w:r>
          </w:p>
          <w:p w:rsidR="00000000" w:rsidDel="00000000" w:rsidP="00000000" w:rsidRDefault="00000000" w:rsidRPr="00000000" w14:paraId="00000003">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Your task is to read the summarised version of the paper and identify which aspects belong to the Triple Bottom Line (TBL): People, Planet and Performance. If you do not identify all aspects in your paper, leave it blank.</w:t>
            </w:r>
          </w:p>
          <w:p w:rsidR="00000000" w:rsidDel="00000000" w:rsidP="00000000" w:rsidRDefault="00000000" w:rsidRPr="00000000" w14:paraId="00000004">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findings from this paper, provide ideas to how that could be implemented in Machine Translation Quality Assessment.</w:t>
            </w:r>
          </w:p>
          <w:p w:rsidR="00000000" w:rsidDel="00000000" w:rsidP="00000000" w:rsidRDefault="00000000" w:rsidRPr="00000000" w14:paraId="00000005">
            <w:pPr>
              <w:widowControl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remember: Actively do good! After this class, I suggest you read the full paper and reflect about your practice.</w:t>
            </w:r>
          </w:p>
        </w:tc>
      </w:tr>
    </w:tbl>
    <w:p w:rsidR="00000000" w:rsidDel="00000000" w:rsidP="00000000" w:rsidRDefault="00000000" w:rsidRPr="00000000" w14:paraId="00000008">
      <w:pPr>
        <w:rPr>
          <w:rFonts w:ascii="Times New Roman" w:cs="Times New Roman" w:eastAsia="Times New Roman" w:hAnsi="Times New Roman"/>
          <w:b w:val="1"/>
          <w:sz w:val="28"/>
          <w:szCs w:val="28"/>
        </w:rPr>
        <w:sectPr>
          <w:headerReference r:id="rId7" w:type="default"/>
          <w:footerReference r:id="rId8" w:type="default"/>
          <w:pgSz w:h="16840" w:w="11900" w:orient="portrait"/>
          <w:pgMar w:bottom="1440" w:top="2835" w:left="1440" w:right="1440" w:header="709" w:footer="708"/>
          <w:pgNumType w:start="1"/>
        </w:sect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Towards the Systematic Reporting of the Energy and Carbon Footprints of Machine Learning</w:t>
      </w:r>
    </w:p>
    <w:p w:rsidR="00000000" w:rsidDel="00000000" w:rsidP="00000000" w:rsidRDefault="00000000" w:rsidRPr="00000000" w14:paraId="0000000A">
      <w:pPr>
        <w:spacing w:after="240" w:before="240" w:lineRule="auto"/>
        <w:jc w:val="both"/>
        <w:rPr/>
      </w:pPr>
      <w:r w:rsidDel="00000000" w:rsidR="00000000" w:rsidRPr="00000000">
        <w:rPr>
          <w:rFonts w:ascii="Times New Roman" w:cs="Times New Roman" w:eastAsia="Times New Roman" w:hAnsi="Times New Roman"/>
          <w:b w:val="1"/>
          <w:sz w:val="28"/>
          <w:szCs w:val="28"/>
          <w:rtl w:val="0"/>
        </w:rPr>
        <w:t xml:space="preserve">Reference: </w:t>
      </w:r>
      <w:r w:rsidDel="00000000" w:rsidR="00000000" w:rsidRPr="00000000">
        <w:rPr>
          <w:rFonts w:ascii="Times New Roman" w:cs="Times New Roman" w:eastAsia="Times New Roman" w:hAnsi="Times New Roman"/>
          <w:sz w:val="28"/>
          <w:szCs w:val="28"/>
          <w:rtl w:val="0"/>
        </w:rPr>
        <w:t xml:space="preserve">Henderson, P., Hu, J., Romoff, J., Straszak, E., Yusuf, H., Bacon, T., Jain, S. and Jaques, N., 2020. Towards the systematic reporting of the energy and carbon footprints of machine learning. </w:t>
      </w:r>
      <w:r w:rsidDel="00000000" w:rsidR="00000000" w:rsidRPr="00000000">
        <w:rPr>
          <w:rFonts w:ascii="Times New Roman" w:cs="Times New Roman" w:eastAsia="Times New Roman" w:hAnsi="Times New Roman"/>
          <w:i w:val="1"/>
          <w:sz w:val="28"/>
          <w:szCs w:val="28"/>
          <w:rtl w:val="0"/>
        </w:rPr>
        <w:t xml:space="preserve">Journal of Machine Learning Research</w:t>
      </w:r>
      <w:r w:rsidDel="00000000" w:rsidR="00000000" w:rsidRPr="00000000">
        <w:rPr>
          <w:rFonts w:ascii="Times New Roman" w:cs="Times New Roman" w:eastAsia="Times New Roman" w:hAnsi="Times New Roman"/>
          <w:sz w:val="28"/>
          <w:szCs w:val="28"/>
          <w:rtl w:val="0"/>
        </w:rPr>
        <w:t xml:space="preserve">, [online] Available at:</w:t>
      </w:r>
      <w:hyperlink r:id="rId9">
        <w:r w:rsidDel="00000000" w:rsidR="00000000" w:rsidRPr="00000000">
          <w:rPr>
            <w:rFonts w:ascii="Times New Roman" w:cs="Times New Roman" w:eastAsia="Times New Roman" w:hAnsi="Times New Roman"/>
            <w:sz w:val="28"/>
            <w:szCs w:val="28"/>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https://arxiv.org/abs/2002.05651</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B">
      <w:pPr>
        <w:pStyle w:val="Heading3"/>
        <w:keepNext w:val="0"/>
        <w:keepLines w:val="0"/>
        <w:jc w:val="both"/>
        <w:rPr>
          <w:rFonts w:ascii="Times New Roman" w:cs="Times New Roman" w:eastAsia="Times New Roman" w:hAnsi="Times New Roman"/>
          <w:sz w:val="32"/>
          <w:szCs w:val="32"/>
        </w:rPr>
      </w:pPr>
      <w:bookmarkStart w:colFirst="0" w:colLast="0" w:name="_heading=h.qecynj9m72fp" w:id="0"/>
      <w:bookmarkEnd w:id="0"/>
      <w:r w:rsidDel="00000000" w:rsidR="00000000" w:rsidRPr="00000000">
        <w:rPr>
          <w:rFonts w:ascii="Times New Roman" w:cs="Times New Roman" w:eastAsia="Times New Roman" w:hAnsi="Times New Roman"/>
          <w:sz w:val="32"/>
          <w:szCs w:val="32"/>
          <w:rtl w:val="0"/>
        </w:rPr>
        <w:t xml:space="preserve">Framework for Reporting Energy and Carbon Footprints in ML</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presents a framework that aims to address the environmental impact of machine learning models, focusing specifically on the need to systematically track the energy consumption and carbon emissions involved in machine learning (ML) experiments. The authors underscore that training large ML models, particularly in natural language processing (NLP), is highly resource-intensive and often requires considerable energy, which in turn results in a significant carbon footprint.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framework is built around the need for transparency in reporting the energy used during model training and deployment, alongside the associated carbon emissions. The authors recommend that AI researchers systematically report the total energy consumed, typically measured in kilowatt-hours, while also specifying whether the energy comes from renewable or non-renewable sources. In addition to energy tracking, the framework stresses the importance of calculating the carbon emissions that result from ML processes. This involves estimating the emissions based on the amount of energy consumed and the type of electricity used by the data centres responsible for hosting the computations.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essential component of the framework is the development of standardised green metrics to allow for fair comparisons of the environmental costs between different models and experiments. These metrics should evaluate not just the performance of the models, such as their accuracy, but also their energy efficiency and overall environmental impact. The paper further proposes the introduction of leaderboards to rank machine learning models publicly, based not only on their performance metrics like accuracy or speed but also on their energy consumption and carbon footprint. The goal of these leaderboards is to encourage researchers to </w:t>
      </w:r>
      <w:r w:rsidDel="00000000" w:rsidR="00000000" w:rsidRPr="00000000">
        <w:rPr>
          <w:rFonts w:ascii="Times New Roman" w:cs="Times New Roman" w:eastAsia="Times New Roman" w:hAnsi="Times New Roman"/>
          <w:sz w:val="32"/>
          <w:szCs w:val="32"/>
          <w:rtl w:val="0"/>
        </w:rPr>
        <w:t xml:space="preserve">optimise</w:t>
      </w:r>
      <w:r w:rsidDel="00000000" w:rsidR="00000000" w:rsidRPr="00000000">
        <w:rPr>
          <w:rFonts w:ascii="Times New Roman" w:cs="Times New Roman" w:eastAsia="Times New Roman" w:hAnsi="Times New Roman"/>
          <w:sz w:val="32"/>
          <w:szCs w:val="32"/>
          <w:rtl w:val="0"/>
        </w:rPr>
        <w:t xml:space="preserve"> their models in a way that balances both high performance and low environmental cost, promoting the development of models that deliver good results while reducing their environmental impact.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Lastly, the framework also addresses the issue of accessibility in AI research, noting that the significant resource requirements for training large models currently limit participation in the field to well-funded institutions. By advocating for energy-efficient models, the framework aims to democratise AI research, making it more accessible to a broader group of researchers, including those with fewer resources. This emphasis on energy-efficient model design not only benefits the environment but also fosters a more inclusive AI research community.</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“People”?</w:t>
      </w:r>
    </w:p>
    <w:sdt>
      <w:sdtPr>
        <w:lock w:val="contentLocked"/>
        <w:tag w:val="goog_rdk_0"/>
      </w:sdtPr>
      <w:sdtContent>
        <w:tbl>
          <w:tblPr>
            <w:tblStyle w:val="Table2"/>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“Planet”?</w:t>
      </w:r>
    </w:p>
    <w:sdt>
      <w:sdtPr>
        <w:lock w:val="contentLocked"/>
        <w:tag w:val="goog_rdk_1"/>
      </w:sdtPr>
      <w:sdtContent>
        <w:tbl>
          <w:tblPr>
            <w:tblStyle w:val="Table3"/>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this paper, what could fall under the category “Performance”?</w:t>
      </w:r>
    </w:p>
    <w:sdt>
      <w:sdtPr>
        <w:lock w:val="contentLocked"/>
        <w:tag w:val="goog_rdk_2"/>
      </w:sdtPr>
      <w:sdtContent>
        <w:tbl>
          <w:tblPr>
            <w:tblStyle w:val="Table4"/>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could we adapt this to Machine Translation Quality Assessment?</w:t>
      </w:r>
    </w:p>
    <w:sdt>
      <w:sdtPr>
        <w:lock w:val="contentLocked"/>
        <w:tag w:val="goog_rdk_3"/>
      </w:sdtPr>
      <w:sdtContent>
        <w:tbl>
          <w:tblPr>
            <w:tblStyle w:val="Table5"/>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b w:val="1"/>
                    <w:sz w:val="28"/>
                    <w:szCs w:val="28"/>
                  </w:rPr>
                </w:pPr>
                <w:r w:rsidDel="00000000" w:rsidR="00000000" w:rsidRPr="00000000">
                  <w:rPr>
                    <w:rtl w:val="0"/>
                  </w:rPr>
                </w:r>
              </w:p>
            </w:tc>
          </w:tr>
        </w:tbl>
      </w:sdtContent>
    </w:sdt>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sectPr>
      <w:type w:val="continuous"/>
      <w:pgSz w:h="16840" w:w="11900" w:orient="portrait"/>
      <w:pgMar w:bottom="1440" w:top="2835" w:left="1440" w:right="1440" w:header="709"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spacing w:line="276" w:lineRule="auto"/>
      <w:ind w:left="1700.7874015748032"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123825</wp:posOffset>
          </wp:positionH>
          <wp:positionV relativeFrom="paragraph">
            <wp:posOffset>-152395</wp:posOffset>
          </wp:positionV>
          <wp:extent cx="1981200" cy="1340485"/>
          <wp:effectExtent b="0" l="0" r="0" t="0"/>
          <wp:wrapNone/>
          <wp:docPr id="16" name="image2.png"/>
          <a:graphic>
            <a:graphicData uri="http://schemas.openxmlformats.org/drawingml/2006/picture">
              <pic:pic>
                <pic:nvPicPr>
                  <pic:cNvPr id="0" name="image2.png"/>
                  <pic:cNvPicPr preferRelativeResize="0"/>
                </pic:nvPicPr>
                <pic:blipFill>
                  <a:blip r:embed="rId1"/>
                  <a:srcRect b="14092" l="0" r="0" t="18141"/>
                  <a:stretch>
                    <a:fillRect/>
                  </a:stretch>
                </pic:blipFill>
                <pic:spPr>
                  <a:xfrm>
                    <a:off x="0" y="0"/>
                    <a:ext cx="1981200" cy="1340485"/>
                  </a:xfrm>
                  <a:prstGeom prst="rect"/>
                  <a:ln/>
                </pic:spPr>
              </pic:pic>
            </a:graphicData>
          </a:graphic>
        </wp:anchor>
      </w:drawing>
    </w:r>
  </w:p>
  <w:p w:rsidR="00000000" w:rsidDel="00000000" w:rsidP="00000000" w:rsidRDefault="00000000" w:rsidRPr="00000000" w14:paraId="00000022">
    <w:pPr>
      <w:spacing w:line="276" w:lineRule="auto"/>
      <w:ind w:left="3685.0393700787395"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 </w:t>
    </w:r>
    <w:r w:rsidDel="00000000" w:rsidR="00000000" w:rsidRPr="00000000">
      <w:rPr>
        <w:rFonts w:ascii="Times New Roman" w:cs="Times New Roman" w:eastAsia="Times New Roman" w:hAnsi="Times New Roman"/>
        <w:sz w:val="28"/>
        <w:szCs w:val="28"/>
        <w:rtl w:val="0"/>
      </w:rPr>
      <w:t xml:space="preserve">Machine Translation Quality Assessment</w:t>
    </w:r>
  </w:p>
  <w:p w:rsidR="00000000" w:rsidDel="00000000" w:rsidP="00000000" w:rsidRDefault="00000000" w:rsidRPr="00000000" w14:paraId="00000023">
    <w:pPr>
      <w:spacing w:line="276" w:lineRule="auto"/>
      <w:ind w:left="3685.0393700787395"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w:t>
    </w:r>
    <w:r w:rsidDel="00000000" w:rsidR="00000000" w:rsidRPr="00000000">
      <w:rPr>
        <w:rFonts w:ascii="Times New Roman" w:cs="Times New Roman" w:eastAsia="Times New Roman" w:hAnsi="Times New Roman"/>
        <w:sz w:val="28"/>
        <w:szCs w:val="28"/>
        <w:rtl w:val="0"/>
      </w:rPr>
      <w:t xml:space="preserve">: João Lucas Cavalheiro Camargo</w:t>
    </w:r>
    <w:r w:rsidDel="00000000" w:rsidR="00000000" w:rsidRPr="00000000">
      <w:rPr>
        <w:rtl w:val="0"/>
      </w:rPr>
    </w:r>
  </w:p>
  <w:p w:rsidR="00000000" w:rsidDel="00000000" w:rsidP="00000000" w:rsidRDefault="00000000" w:rsidRPr="00000000" w14:paraId="00000024">
    <w:pPr>
      <w:spacing w:line="276" w:lineRule="auto"/>
      <w:ind w:left="3685.0393700787395" w:right="-607.7952755905511" w:firstLine="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Instructions - Lab 4 - Ethics in Evaluation</w:t>
    </w:r>
    <w:r w:rsidDel="00000000" w:rsidR="00000000" w:rsidRPr="00000000">
      <w:rPr>
        <w:rtl w:val="0"/>
      </w:rPr>
    </w:r>
  </w:p>
  <w:p w:rsidR="00000000" w:rsidDel="00000000" w:rsidP="00000000" w:rsidRDefault="00000000" w:rsidRPr="00000000" w14:paraId="00000025">
    <w:pPr>
      <w:ind w:left="1984.251968503937" w:firstLine="0"/>
      <w:rPr/>
    </w:pPr>
    <w:r w:rsidDel="00000000" w:rsidR="00000000" w:rsidRPr="00000000">
      <w:rPr/>
      <w:pict>
        <v:shape id="WordPictureWatermark1" style="position:absolute;width:699.0pt;height:699.0pt;rotation:0;z-index:-503316481;mso-position-horizontal-relative:margin;mso-position-horizontal:absolute;margin-left:-116.62496062992126pt;mso-position-vertical-relative:margin;mso-position-vertical:absolute;margin-top:5.527244094488189pt;" alt="" type="#_x0000_t75">
          <v:imagedata blacklevel="22938f" cropbottom="0f" cropleft="0f" cropright="0f" croptop="0f" gain="19661f" r:id="rId2"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2D61"/>
    <w:pPr>
      <w:tabs>
        <w:tab w:val="center" w:pos="4513"/>
        <w:tab w:val="right" w:pos="9026"/>
      </w:tabs>
    </w:pPr>
  </w:style>
  <w:style w:type="character" w:styleId="HeaderChar" w:customStyle="1">
    <w:name w:val="Header Char"/>
    <w:basedOn w:val="DefaultParagraphFont"/>
    <w:link w:val="Header"/>
    <w:uiPriority w:val="99"/>
    <w:rsid w:val="00932D61"/>
  </w:style>
  <w:style w:type="paragraph" w:styleId="Footer">
    <w:name w:val="footer"/>
    <w:basedOn w:val="Normal"/>
    <w:link w:val="FooterChar"/>
    <w:uiPriority w:val="99"/>
    <w:unhideWhenUsed w:val="1"/>
    <w:rsid w:val="00932D61"/>
    <w:pPr>
      <w:tabs>
        <w:tab w:val="center" w:pos="4513"/>
        <w:tab w:val="right" w:pos="9026"/>
      </w:tabs>
    </w:pPr>
  </w:style>
  <w:style w:type="character" w:styleId="FooterChar" w:customStyle="1">
    <w:name w:val="Footer Char"/>
    <w:basedOn w:val="DefaultParagraphFont"/>
    <w:link w:val="Footer"/>
    <w:uiPriority w:val="99"/>
    <w:rsid w:val="00932D6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002.05651" TargetMode="External"/><Relationship Id="rId9" Type="http://schemas.openxmlformats.org/officeDocument/2006/relationships/hyperlink" Target="https://arxiv.org/abs/2002.0565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A0njGkmgvHWQd5It/9ugIX3Dw==">CgMxLjAaHwoBMBIaChgICVIUChJ0YWJsZS42MnFjMnN6ZWQ5bXIaHwoBMRIaChgICVIUChJ0YWJsZS54NDg4NHNld3Z4NTQaHwoBMhIaChgICVIUChJ0YWJsZS5lOG04Z2hmeWp6eWQaHwoBMxIaChgICVIUChJ0YWJsZS5xM3VmcWVpamc3ZnEyDmgucWVjeW5qOW03MmZwOAByITFERE1vTzJpWlZoaHhMSHhJLVUydFRadlVTYUFBUVFGaw==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2023-05-05T11:36:00Z</dcterms:created>
  <dc:creator>Mark McDermott</dc:creator>
</cp:coreProperties>
</file>