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aps/>
          <w:color w:val="1E3A5F"/>
          <w:sz w:val="22"/>
          <w:szCs w:val="22"/>
        </w:rPr>
        <w:t xml:space="preserve">CENTRO UNIVERSITÁRIO UNIFECAF</w:t>
      </w:r>
    </w:p>
    <w:p>
      <w:pPr>
        <w:spacing w:before="0" w:after="1440"/>
        <w:jc w:val="center"/>
      </w:pPr>
      <w:r>
        <w:rPr>
          <w:rFonts w:ascii="Arial" w:cs="Arial" w:eastAsia="Arial" w:hAnsi="Arial"/>
          <w:color w:val="475569"/>
          <w:sz w:val="22"/>
          <w:szCs w:val="22"/>
        </w:rPr>
        <w:t xml:space="preserve">Fundamentos de Gerenciamento de Projetos</w:t>
      </w:r>
    </w:p>
    <w:p>
      <w:pPr>
        <w:pBdr>
          <w:bottom w:val="single" w:color="1E3A5F" w:sz="8" w:space="1"/>
        </w:pBdr>
        <w:spacing w:before="80" w:after="80"/>
      </w:pPr>
    </w:p>
    <w:p>
      <w:pPr>
        <w:spacing w:before="0" w:after="1440"/>
      </w:pPr>
    </w:p>
    <w:p>
      <w:pPr>
        <w:spacing w:before="0" w:after="120"/>
        <w:jc w:val="center"/>
      </w:pPr>
      <w:r>
        <w:rPr>
          <w:rFonts w:ascii="Arial" w:cs="Arial" w:eastAsia="Arial" w:hAnsi="Arial"/>
          <w:b/>
          <w:bCs/>
          <w:caps/>
          <w:color w:val="1E3A5F"/>
          <w:sz w:val="48"/>
          <w:szCs w:val="48"/>
        </w:rPr>
        <w:t xml:space="preserve">DO PROBLEMA AO PRODUTO</w:t>
      </w:r>
    </w:p>
    <w:p>
      <w:pPr>
        <w:spacing w:before="0" w:after="200"/>
        <w:jc w:val="center"/>
      </w:pPr>
      <w:r>
        <w:rPr>
          <w:rFonts w:ascii="Arial" w:cs="Arial" w:eastAsia="Arial" w:hAnsi="Arial"/>
          <w:color w:val="1E293B"/>
          <w:sz w:val="28"/>
          <w:szCs w:val="28"/>
        </w:rPr>
        <w:t xml:space="preserve">Planejamento de um Produto Digital com IA, MVP e Roadmap</w:t>
      </w:r>
    </w:p>
    <w:p>
      <w:pPr>
        <w:spacing w:before="0" w:after="1440"/>
        <w:jc w:val="center"/>
      </w:pPr>
      <w:r>
        <w:rPr>
          <w:rFonts w:ascii="Times New Roman" w:cs="Times New Roman" w:eastAsia="Times New Roman" w:hAnsi="Times New Roman"/>
          <w:color w:val="475569"/>
          <w:sz w:val="24"/>
          <w:szCs w:val="24"/>
        </w:rPr>
        <w:t xml:space="preserve">Produto: ClarityAI — Plataforma de Inteligência de Atendimento ao Cliente</w:t>
      </w:r>
    </w:p>
    <w:p>
      <w:pPr>
        <w:spacing w:before="0" w:after="2880"/>
      </w:pPr>
    </w:p>
    <w:p>
      <w:pPr>
        <w:spacing w:before="0" w:after="80"/>
        <w:jc w:val="center"/>
      </w:pPr>
      <w:r>
        <w:rPr>
          <w:rFonts w:ascii="Times New Roman" w:cs="Times New Roman" w:eastAsia="Times New Roman" w:hAnsi="Times New Roman"/>
          <w:color w:val="475569"/>
          <w:sz w:val="22"/>
          <w:szCs w:val="22"/>
        </w:rPr>
        <w:t xml:space="preserve">Trabalho apresentado como requisito parcial</w:t>
      </w:r>
    </w:p>
    <w:p>
      <w:pPr>
        <w:spacing w:before="0" w:after="80"/>
        <w:jc w:val="center"/>
      </w:pPr>
      <w:r>
        <w:rPr>
          <w:rFonts w:ascii="Times New Roman" w:cs="Times New Roman" w:eastAsia="Times New Roman" w:hAnsi="Times New Roman"/>
          <w:color w:val="475569"/>
          <w:sz w:val="22"/>
          <w:szCs w:val="22"/>
        </w:rPr>
        <w:t xml:space="preserve">para aprovação na disciplina de Fundamentos de Gerenciamento de Projetos.</w:t>
      </w:r>
    </w:p>
    <w:p>
      <w:pPr>
        <w:spacing w:before="0" w:after="320"/>
      </w:pPr>
    </w:p>
    <w:p>
      <w:pPr>
        <w:spacing w:before="0" w:after="80"/>
        <w:jc w:val="center"/>
      </w:pPr>
      <w:r>
        <w:rPr>
          <w:rFonts w:ascii="Times New Roman" w:cs="Times New Roman" w:eastAsia="Times New Roman" w:hAnsi="Times New Roman"/>
          <w:b/>
          <w:bCs/>
          <w:color w:val="1E3A5F"/>
          <w:sz w:val="22"/>
          <w:szCs w:val="22"/>
        </w:rPr>
        <w:t xml:space="preserve">Papel assumido: Product Manager / Project Manager</w:t>
      </w:r>
    </w:p>
    <w:p>
      <w:pPr>
        <w:spacing w:before="0" w:after="320"/>
      </w:pPr>
    </w:p>
    <w:p>
      <w:pPr>
        <w:spacing w:before="0" w:after="0"/>
        <w:jc w:val="center"/>
      </w:pPr>
      <w:r>
        <w:rPr>
          <w:rFonts w:ascii="Times New Roman" w:cs="Times New Roman" w:eastAsia="Times New Roman" w:hAnsi="Times New Roman"/>
          <w:b/>
          <w:bCs/>
          <w:color w:val="1E293B"/>
          <w:sz w:val="24"/>
          <w:szCs w:val="24"/>
        </w:rPr>
        <w:t xml:space="preserve">João Henrique Benatti Coimbra</w:t>
      </w:r>
    </w:p>
    <w:p>
      <w:pPr>
        <w:spacing w:before="0" w:after="1440"/>
      </w:pPr>
    </w:p>
    <w:p>
      <w:pPr>
        <w:spacing w:before="0" w:after="0"/>
        <w:jc w:val="center"/>
      </w:pPr>
      <w:r>
        <w:rPr>
          <w:rFonts w:ascii="Times New Roman" w:cs="Times New Roman" w:eastAsia="Times New Roman" w:hAnsi="Times New Roman"/>
          <w:color w:val="94A3B8"/>
          <w:sz w:val="22"/>
          <w:szCs w:val="22"/>
        </w:rPr>
        <w:t xml:space="preserve">Bauru — SP, 2026</w:t>
      </w:r>
    </w:p>
    <w:p>
      <w:pPr>
        <w:sectPr>
          <w:pgSz w:w="11906" w:h="16838" w:orient="portrait"/>
          <w:pgMar w:top="1701" w:right="1134" w:bottom="1701" w:left="1701" w:header="708" w:footer="708" w:gutter="0"/>
          <w:pgNumType/>
          <w:docGrid w:linePitch="360"/>
        </w:sectPr>
      </w:pPr>
    </w:p>
    <w:p>
      <w:pPr>
        <w:pStyle w:val="Heading1"/>
        <w:pBdr>
          <w:bottom w:val="single" w:color="1E3A5F" w:sz="6" w:space="4"/>
        </w:pBdr>
        <w:spacing w:before="560" w:after="240" w:line="276"/>
      </w:pPr>
      <w:r>
        <w:rPr>
          <w:rFonts w:ascii="Arial" w:cs="Arial" w:eastAsia="Arial" w:hAnsi="Arial"/>
          <w:b/>
          <w:bCs/>
          <w:color w:val="1E3A5F"/>
          <w:sz w:val="28"/>
          <w:szCs w:val="28"/>
        </w:rPr>
        <w:t xml:space="preserve">RESUMO EXECUTIVO</w:t>
      </w:r>
    </w:p>
    <w:p>
      <w:pPr>
        <w:spacing w:before="80" w:after="200" w:line="360"/>
        <w:jc w:val="both"/>
      </w:pPr>
      <w:r>
        <w:rPr>
          <w:rFonts w:ascii="Times New Roman" w:cs="Times New Roman" w:eastAsia="Times New Roman" w:hAnsi="Times New Roman"/>
          <w:b w:val="false"/>
          <w:bCs w:val="false"/>
          <w:color w:val="475569"/>
          <w:sz w:val="24"/>
          <w:szCs w:val="24"/>
        </w:rPr>
        <w:t xml:space="preserve">O presente trabalho tem por objetivo planejar estrategicamente um produto digital baseado em Inteligência Artificial Generativa, denominado ClarityAI, aplicando os fundamentos de gerenciamento de projetos e produtos aprendidos ao longo da disciplina. O produto proposto visa solucionar uma dor real de mercado: times internos de atendimento ao cliente que lidam com volumes massivos de interações — tickets, chats e e-mails — e não conseguem priorizar temas críticos nem gerar planos de ação com a velocidade que o negócio exige.</w:t>
      </w:r>
    </w:p>
    <w:p>
      <w:pPr>
        <w:spacing w:before="80" w:after="200" w:line="360"/>
        <w:jc w:val="both"/>
      </w:pPr>
      <w:r>
        <w:rPr>
          <w:rFonts w:ascii="Times New Roman" w:cs="Times New Roman" w:eastAsia="Times New Roman" w:hAnsi="Times New Roman"/>
          <w:b w:val="false"/>
          <w:bCs w:val="false"/>
          <w:color w:val="475569"/>
          <w:sz w:val="24"/>
          <w:szCs w:val="24"/>
        </w:rPr>
        <w:t xml:space="preserve">O planejamento contempla visão de produto, definição e justificativa do MVP, roadmap orientado por resultados, ciclo de vida da aplicação, gerenciamento de riscos e considerações éticas sobre o uso de IA em contextos organizacionais.</w:t>
      </w:r>
    </w:p>
    <w:p>
      <w:pPr>
        <w:spacing w:before="80" w:after="200" w:line="360"/>
        <w:jc w:val="both"/>
      </w:pPr>
      <w:r>
        <w:rPr>
          <w:rFonts w:ascii="Times New Roman" w:cs="Times New Roman" w:eastAsia="Times New Roman" w:hAnsi="Times New Roman"/>
          <w:b w:val="false"/>
          <w:bCs w:val="false"/>
          <w:color w:val="475569"/>
          <w:sz w:val="24"/>
          <w:szCs w:val="24"/>
        </w:rPr>
        <w:t xml:space="preserve">As referências teóricas adotadas são o PMBOK (Project Management Institute), o Scrum Guide 2020 e os conteúdos apresentados em sala de aula, incluindo os frameworks de priorização MoSCoW, RICE e Value vs. Effort, além do modelo do Triplo Diamante para discovery de produto.</w:t>
      </w:r>
    </w:p>
    <w:p>
      <w:pPr>
        <w:spacing w:before="0" w:after="120"/>
      </w:pPr>
    </w:p>
    <w:p>
      <w:pPr>
        <w:pStyle w:val="Heading1"/>
        <w:pBdr>
          <w:bottom w:val="single" w:color="1E3A5F" w:sz="6" w:space="4"/>
        </w:pBdr>
        <w:spacing w:before="560" w:after="240" w:line="276"/>
      </w:pPr>
      <w:r>
        <w:rPr>
          <w:rFonts w:ascii="Arial" w:cs="Arial" w:eastAsia="Arial" w:hAnsi="Arial"/>
          <w:b/>
          <w:bCs/>
          <w:color w:val="1E3A5F"/>
          <w:sz w:val="28"/>
          <w:szCs w:val="28"/>
        </w:rPr>
        <w:t xml:space="preserve">1. VISÃO DE PRODUTO</w:t>
      </w:r>
    </w:p>
    <w:p>
      <w:pPr>
        <w:pStyle w:val="Heading2"/>
        <w:spacing w:before="400" w:after="160" w:line="276"/>
      </w:pPr>
      <w:r>
        <w:rPr>
          <w:rFonts w:ascii="Arial" w:cs="Arial" w:eastAsia="Arial" w:hAnsi="Arial"/>
          <w:b/>
          <w:bCs/>
          <w:color w:val="1E293B"/>
          <w:sz w:val="24"/>
          <w:szCs w:val="24"/>
        </w:rPr>
        <w:t xml:space="preserve">1.1 Descrição do Produto Digital</w:t>
      </w:r>
    </w:p>
    <w:p>
      <w:pPr>
        <w:spacing w:before="80" w:after="200" w:line="360"/>
        <w:jc w:val="both"/>
      </w:pPr>
      <w:r>
        <w:rPr>
          <w:rFonts w:ascii="Times New Roman" w:cs="Times New Roman" w:eastAsia="Times New Roman" w:hAnsi="Times New Roman"/>
          <w:b w:val="false"/>
          <w:bCs w:val="false"/>
          <w:color w:val="475569"/>
          <w:sz w:val="24"/>
          <w:szCs w:val="24"/>
        </w:rPr>
        <w:t xml:space="preserve">O ClarityAI é uma plataforma SaaS (Software as a Service) de inteligência artificial generativa que processa, de maneira automática, dados de atendimento ao cliente — tickets de suporte, históricos de chats e e-mails — com o objetivo de gerar insights priorizados e planos de ação contextualizados para times internos de operações, produto e Customer Experience.</w:t>
      </w:r>
    </w:p>
    <w:p>
      <w:pPr>
        <w:spacing w:before="80" w:after="200" w:line="360"/>
        <w:jc w:val="both"/>
      </w:pPr>
      <w:r>
        <w:rPr>
          <w:rFonts w:ascii="Times New Roman" w:cs="Times New Roman" w:eastAsia="Times New Roman" w:hAnsi="Times New Roman"/>
          <w:b w:val="false"/>
          <w:bCs w:val="false"/>
          <w:color w:val="475569"/>
          <w:sz w:val="24"/>
          <w:szCs w:val="24"/>
        </w:rPr>
        <w:t xml:space="preserve">A plataforma ingere os dados brutos de suporte, aplica modelos de linguagem (LLMs — Large Language Models) para identificação de padrões semânticos, classifica as interações por tema, criticidade e frequência, e entrega painéis acionáveis com recomendações de resposta organizacional, dispensando a necessidade de analistas de dados dedicados para triagem manual.</w:t>
      </w:r>
    </w:p>
    <w:p>
      <w:pPr>
        <w:pStyle w:val="Heading2"/>
        <w:spacing w:before="400" w:after="160" w:line="276"/>
      </w:pPr>
      <w:r>
        <w:rPr>
          <w:rFonts w:ascii="Arial" w:cs="Arial" w:eastAsia="Arial" w:hAnsi="Arial"/>
          <w:b/>
          <w:bCs/>
          <w:color w:val="1E293B"/>
          <w:sz w:val="24"/>
          <w:szCs w:val="24"/>
        </w:rPr>
        <w:t xml:space="preserve">1.2 Público-Alvo e Problema Atendido</w:t>
      </w:r>
    </w:p>
    <w:p>
      <w:pPr>
        <w:spacing w:before="80" w:after="200" w:line="360"/>
        <w:jc w:val="both"/>
      </w:pPr>
      <w:r>
        <w:rPr>
          <w:rFonts w:ascii="Times New Roman" w:cs="Times New Roman" w:eastAsia="Times New Roman" w:hAnsi="Times New Roman"/>
          <w:b w:val="false"/>
          <w:bCs w:val="false"/>
          <w:color w:val="475569"/>
          <w:sz w:val="24"/>
          <w:szCs w:val="24"/>
        </w:rPr>
        <w:t xml:space="preserve">O público-alvo primário é composto por times de Customer Experience (CX), Operações de Suporte e Gestão de Produto em empresas com volume superior a 5.000 interações mensais de atendimento ao cliente, especialmente aquelas que já utilizam plataformas como Zendesk, Freshdesk ou Salesforce Service Cloud.</w:t>
      </w:r>
    </w:p>
    <w:p>
      <w:pPr>
        <w:spacing w:before="80" w:after="200" w:line="360"/>
        <w:jc w:val="both"/>
      </w:pPr>
      <w:r>
        <w:rPr>
          <w:rFonts w:ascii="Times New Roman" w:cs="Times New Roman" w:eastAsia="Times New Roman" w:hAnsi="Times New Roman"/>
          <w:b w:val="false"/>
          <w:bCs w:val="false"/>
          <w:color w:val="475569"/>
          <w:sz w:val="24"/>
          <w:szCs w:val="24"/>
        </w:rPr>
        <w:t xml:space="preserve">O problema central identificado pode ser descrito da seguinte forma: o time interno recebe volumes gigantescos de interações de atendimento e não dispõe de ferramentas suficientes para identificar os temas críticos com velocidade e precisão. O resultado prático é a reatividade crônica: problemas que poderiam ser resolvidos de maneira preventiva escalam por semanas, causando queda no NPS (Net Promoter Score) e perdas de oportunidades de melhoria de produto.</w:t>
      </w:r>
    </w:p>
    <w:p>
      <w:pPr>
        <w:spacing w:before="200" w:after="200" w:line="240"/>
        <w:ind w:left="2268"/>
        <w:jc w:val="both"/>
      </w:pPr>
      <w:r>
        <w:rPr>
          <w:rFonts w:ascii="Times New Roman" w:cs="Times New Roman" w:eastAsia="Times New Roman" w:hAnsi="Times New Roman"/>
          <w:color w:val="475569"/>
          <w:sz w:val="20"/>
          <w:szCs w:val="20"/>
        </w:rPr>
        <w:t xml:space="preserve">O gargalo não é a falta de dados — é a incapacidade de transformar dado em decisão rápida. (Diagnóstico do problema — elaboração própria)</w:t>
      </w:r>
    </w:p>
    <w:p>
      <w:pPr>
        <w:spacing w:before="80" w:after="200" w:line="360"/>
        <w:jc w:val="both"/>
      </w:pPr>
      <w:r>
        <w:rPr>
          <w:rFonts w:ascii="Times New Roman" w:cs="Times New Roman" w:eastAsia="Times New Roman" w:hAnsi="Times New Roman"/>
          <w:b w:val="false"/>
          <w:bCs w:val="false"/>
          <w:color w:val="475569"/>
          <w:sz w:val="24"/>
          <w:szCs w:val="24"/>
        </w:rPr>
        <w:t xml:space="preserve">Conforme discutido nas aulas, o processo de Product Discovery visa entender quais problemas realmente valem a pena ser resolvidos antes de gastar tempo e dinheiro construindo uma solução. O ClarityAI nasce de uma descoberta clara: o problema é real, frequente e não resolvido de forma satisfatória pelas ferramentas convencionais de relatório.</w:t>
      </w:r>
    </w:p>
    <w:p>
      <w:pPr>
        <w:pStyle w:val="Heading2"/>
        <w:spacing w:before="400" w:after="160" w:line="276"/>
      </w:pPr>
      <w:r>
        <w:rPr>
          <w:rFonts w:ascii="Arial" w:cs="Arial" w:eastAsia="Arial" w:hAnsi="Arial"/>
          <w:b/>
          <w:bCs/>
          <w:color w:val="1E293B"/>
          <w:sz w:val="24"/>
          <w:szCs w:val="24"/>
        </w:rPr>
        <w:t xml:space="preserve">1.3 Proposta de Valor</w:t>
      </w:r>
    </w:p>
    <w:p>
      <w:pPr>
        <w:spacing w:before="80" w:after="200" w:line="360"/>
        <w:jc w:val="both"/>
      </w:pPr>
      <w:r>
        <w:rPr>
          <w:rFonts w:ascii="Times New Roman" w:cs="Times New Roman" w:eastAsia="Times New Roman" w:hAnsi="Times New Roman"/>
          <w:b w:val="false"/>
          <w:bCs w:val="false"/>
          <w:color w:val="475569"/>
          <w:sz w:val="24"/>
          <w:szCs w:val="24"/>
        </w:rPr>
        <w:t xml:space="preserve">A proposta de valor do ClarityAI pode ser sintetizada no seguinte enunciado:</w:t>
      </w:r>
    </w:p>
    <w:p>
      <w:pPr>
        <w:spacing w:before="200" w:after="200" w:line="240"/>
        <w:ind w:left="2268"/>
        <w:jc w:val="both"/>
      </w:pPr>
      <w:r>
        <w:rPr>
          <w:rFonts w:ascii="Times New Roman" w:cs="Times New Roman" w:eastAsia="Times New Roman" w:hAnsi="Times New Roman"/>
          <w:color w:val="475569"/>
          <w:sz w:val="20"/>
          <w:szCs w:val="20"/>
        </w:rPr>
        <w:t xml:space="preserve">"Transformar o caos do atendimento em clareza estratégica: insights automáticos, priorizados e com planos de ação prontos para executar — em minutos, não semanas."</w:t>
      </w:r>
    </w:p>
    <w:p>
      <w:pPr>
        <w:spacing w:before="80" w:after="200" w:line="360"/>
        <w:jc w:val="both"/>
      </w:pPr>
      <w:r>
        <w:rPr>
          <w:rFonts w:ascii="Times New Roman" w:cs="Times New Roman" w:eastAsia="Times New Roman" w:hAnsi="Times New Roman"/>
          <w:b w:val="false"/>
          <w:bCs w:val="false"/>
          <w:color w:val="475569"/>
          <w:sz w:val="24"/>
          <w:szCs w:val="24"/>
        </w:rPr>
        <w:t xml:space="preserve">O produto resolve três dores de forma simultânea: (i) elimina o tempo gasto em triagem manual de interações; (ii) prioriza automaticamente os temas de maior impacto para o negócio, com base em frequência e intensidade de sentimento; e (iii) gera recomendações práticas e estruturadas que qualquer gestor pode executar sem depender de uma equipe de analytics.</w:t>
      </w:r>
    </w:p>
    <w:p>
      <w:pPr>
        <w:spacing w:before="80" w:after="200" w:line="360"/>
        <w:jc w:val="both"/>
      </w:pPr>
      <w:r>
        <w:rPr>
          <w:rFonts w:ascii="Times New Roman" w:cs="Times New Roman" w:eastAsia="Times New Roman" w:hAnsi="Times New Roman"/>
          <w:b w:val="false"/>
          <w:bCs w:val="false"/>
          <w:color w:val="475569"/>
          <w:sz w:val="24"/>
          <w:szCs w:val="24"/>
        </w:rPr>
        <w:t xml:space="preserve">Conforme ensinado em aula, uma boa visão de produto não é funcional, mas direcional — ela responde o que o produto muda na vida do usuário, não o que ele entrega. O ClarityAI não entrega dashboards; ele entrega velocidade de decisão.</w:t>
      </w:r>
    </w:p>
    <w:p>
      <w:pPr>
        <w:spacing w:before="0" w:after="120"/>
      </w:pPr>
    </w:p>
    <w:p>
      <w:pPr>
        <w:pStyle w:val="Heading1"/>
        <w:pBdr>
          <w:bottom w:val="single" w:color="1E3A5F" w:sz="6" w:space="4"/>
        </w:pBdr>
        <w:spacing w:before="560" w:after="240" w:line="276"/>
      </w:pPr>
      <w:r>
        <w:rPr>
          <w:rFonts w:ascii="Arial" w:cs="Arial" w:eastAsia="Arial" w:hAnsi="Arial"/>
          <w:b/>
          <w:bCs/>
          <w:color w:val="1E3A5F"/>
          <w:sz w:val="28"/>
          <w:szCs w:val="28"/>
        </w:rPr>
        <w:t xml:space="preserve">2. DEFINIÇÃO DO MVP</w:t>
      </w:r>
    </w:p>
    <w:p>
      <w:pPr>
        <w:pStyle w:val="Heading2"/>
        <w:spacing w:before="400" w:after="160" w:line="276"/>
      </w:pPr>
      <w:r>
        <w:rPr>
          <w:rFonts w:ascii="Arial" w:cs="Arial" w:eastAsia="Arial" w:hAnsi="Arial"/>
          <w:b/>
          <w:bCs/>
          <w:color w:val="1E293B"/>
          <w:sz w:val="24"/>
          <w:szCs w:val="24"/>
        </w:rPr>
        <w:t xml:space="preserve">2.1 Conceito e Justificativa</w:t>
      </w:r>
    </w:p>
    <w:p>
      <w:pPr>
        <w:spacing w:before="80" w:after="200" w:line="360"/>
        <w:jc w:val="both"/>
      </w:pPr>
      <w:r>
        <w:rPr>
          <w:rFonts w:ascii="Times New Roman" w:cs="Times New Roman" w:eastAsia="Times New Roman" w:hAnsi="Times New Roman"/>
          <w:b w:val="false"/>
          <w:bCs w:val="false"/>
          <w:color w:val="475569"/>
          <w:sz w:val="24"/>
          <w:szCs w:val="24"/>
        </w:rPr>
        <w:t xml:space="preserve">Conforme os conteúdos da Aula 03, um MVP (Minimum Viable Product) não é uma versão barata ou incompleta do produto — é o menor experimento possível para validar uma hipótese crítica. O MVP existe para aprender, não para escalar.</w:t>
      </w:r>
    </w:p>
    <w:p>
      <w:pPr>
        <w:spacing w:before="80" w:after="200" w:line="360"/>
        <w:jc w:val="both"/>
      </w:pPr>
      <w:r>
        <w:rPr>
          <w:rFonts w:ascii="Times New Roman" w:cs="Times New Roman" w:eastAsia="Times New Roman" w:hAnsi="Times New Roman"/>
          <w:b w:val="false"/>
          <w:bCs w:val="false"/>
          <w:color w:val="475569"/>
          <w:sz w:val="24"/>
          <w:szCs w:val="24"/>
        </w:rPr>
        <w:t xml:space="preserve">A hipótese central que o MVP do ClarityAI se propõe a validar é a seguinte:</w:t>
      </w:r>
    </w:p>
    <w:p>
      <w:pPr>
        <w:spacing w:before="200" w:after="200" w:line="240"/>
        <w:ind w:left="2268"/>
        <w:jc w:val="both"/>
      </w:pPr>
      <w:r>
        <w:rPr>
          <w:rFonts w:ascii="Times New Roman" w:cs="Times New Roman" w:eastAsia="Times New Roman" w:hAnsi="Times New Roman"/>
          <w:color w:val="475569"/>
          <w:sz w:val="20"/>
          <w:szCs w:val="20"/>
        </w:rPr>
        <w:t xml:space="preserve">"Um time de suporte com volume massivo de interações consegue agir mais rápido e com maior precisão quando recebe insights priorizados gerados por IA, sem depender de analistas de dados."</w:t>
      </w:r>
    </w:p>
    <w:p>
      <w:pPr>
        <w:spacing w:before="80" w:after="200" w:line="360"/>
        <w:jc w:val="both"/>
      </w:pPr>
      <w:r>
        <w:rPr>
          <w:rFonts w:ascii="Times New Roman" w:cs="Times New Roman" w:eastAsia="Times New Roman" w:hAnsi="Times New Roman"/>
          <w:b w:val="false"/>
          <w:bCs w:val="false"/>
          <w:color w:val="475569"/>
          <w:sz w:val="24"/>
          <w:szCs w:val="24"/>
        </w:rPr>
        <w:t xml:space="preserve">O formato adotado é o de Concierge MVP com interface web, em que parte do processamento pode ser assistida manualmente em background durante as primeiras semanas de operação, enquanto os modelos de classificação são refinados com dados reais do cliente.</w:t>
      </w:r>
    </w:p>
    <w:p>
      <w:pPr>
        <w:pStyle w:val="Heading2"/>
        <w:spacing w:before="400" w:after="160" w:line="276"/>
      </w:pPr>
      <w:r>
        <w:rPr>
          <w:rFonts w:ascii="Arial" w:cs="Arial" w:eastAsia="Arial" w:hAnsi="Arial"/>
          <w:b/>
          <w:bCs/>
          <w:color w:val="1E293B"/>
          <w:sz w:val="24"/>
          <w:szCs w:val="24"/>
        </w:rPr>
        <w:t xml:space="preserve">2.2 Funcionalidades e Priorização (MoSCoW)</w:t>
      </w:r>
    </w:p>
    <w:p>
      <w:pPr>
        <w:spacing w:before="80" w:after="200" w:line="360"/>
        <w:jc w:val="both"/>
      </w:pPr>
      <w:r>
        <w:rPr>
          <w:rFonts w:ascii="Times New Roman" w:cs="Times New Roman" w:eastAsia="Times New Roman" w:hAnsi="Times New Roman"/>
          <w:b w:val="false"/>
          <w:bCs w:val="false"/>
          <w:color w:val="475569"/>
          <w:sz w:val="24"/>
          <w:szCs w:val="24"/>
        </w:rPr>
        <w:t xml:space="preserve">A tabela a seguir apresenta a priorização das funcionalidades do MVP segundo o framework MoSCoW, amplamente utilizado em gestão de produtos para definir o que é essencial, importante, opcional ou fora do escopo em determinado ciclo.</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400"/>
        <w:gridCol w:w="2626"/>
      </w:tblGrid>
      <w:tr>
        <w:trPr>
          <w:tblHeader/>
        </w:trPr>
        <w:tc>
          <w:tcPr>
            <w:tcW w:type="dxa" w:w="10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Prioridade</w:t>
            </w:r>
          </w:p>
        </w:tc>
        <w:tc>
          <w:tcPr>
            <w:tcW w:type="dxa" w:w="20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Funcionalidade</w:t>
            </w:r>
          </w:p>
        </w:tc>
        <w:tc>
          <w:tcPr>
            <w:tcW w:type="dxa" w:w="34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Justificativa</w:t>
            </w:r>
          </w:p>
        </w:tc>
        <w:tc>
          <w:tcPr>
            <w:tcW w:type="dxa" w:w="2626"/>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Critério de Aceitação</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Must Have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Importação de dados via CSV</w:t>
            </w:r>
          </w:p>
        </w:tc>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Base de tudo — sem dados, não há insight.</w:t>
            </w:r>
          </w:p>
        </w:tc>
        <w:tc>
          <w:tcPr>
            <w:tcW w:type="dxa" w:w="2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Upload de até 50k linhas processado em ≤ 3 min.</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Must Have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Classificação automática por tema (NLP/LLM)</w:t>
            </w:r>
          </w:p>
        </w:tc>
        <w:tc>
          <w:tcPr>
            <w:tcW w:type="dxa" w:w="3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Resolve o problema central de triagem manual.</w:t>
            </w:r>
          </w:p>
        </w:tc>
        <w:tc>
          <w:tcPr>
            <w:tcW w:type="dxa" w:w="2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 80% de classificações aprovadas pelos usuários-teste.</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Must Have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Dashboard com top 10 temas críticos</w:t>
            </w:r>
          </w:p>
        </w:tc>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Entrega diretamente a priorização que o time não consegue fazer.</w:t>
            </w:r>
          </w:p>
        </w:tc>
        <w:tc>
          <w:tcPr>
            <w:tcW w:type="dxa" w:w="2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Dashboard carrega em ≤ 5 s com frequência e sentimento.</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Must Have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Geração de plano de ação por tema (IA)</w:t>
            </w:r>
          </w:p>
        </w:tc>
        <w:tc>
          <w:tcPr>
            <w:tcW w:type="dxa" w:w="3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Transforma insight em decisão executável.</w:t>
            </w:r>
          </w:p>
        </w:tc>
        <w:tc>
          <w:tcPr>
            <w:tcW w:type="dxa" w:w="2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 70% dos planos avaliados como "diretamente utilizáveis".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Must Have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Autenticação e controle de acesso</w:t>
            </w:r>
          </w:p>
        </w:tc>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Requisito mínimo para operar com dado real de cliente.</w:t>
            </w:r>
          </w:p>
        </w:tc>
        <w:tc>
          <w:tcPr>
            <w:tcW w:type="dxa" w:w="2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Usuários de organizações diferentes não acessam dados cruzados.</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Should Have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Filtros por período e canal</w:t>
            </w:r>
          </w:p>
        </w:tc>
        <w:tc>
          <w:tcPr>
            <w:tcW w:type="dxa" w:w="3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Amplia utilidade sem custo técnico alto.</w:t>
            </w:r>
          </w:p>
        </w:tc>
        <w:tc>
          <w:tcPr>
            <w:tcW w:type="dxa" w:w="2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Fase 2 — Sprint 2 ou 3.</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Should Have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Exportação de relatório em PDF</w:t>
            </w:r>
          </w:p>
        </w:tc>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Viabiliza apresentação para lideranças.</w:t>
            </w:r>
          </w:p>
        </w:tc>
        <w:tc>
          <w:tcPr>
            <w:tcW w:type="dxa" w:w="2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Fase 2.</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Won't Have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Integração nativa Zendesk/Salesforce</w:t>
            </w:r>
          </w:p>
        </w:tc>
        <w:tc>
          <w:tcPr>
            <w:tcW w:type="dxa" w:w="3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Alto esforço antes de validar o valor do insight.</w:t>
            </w:r>
          </w:p>
        </w:tc>
        <w:tc>
          <w:tcPr>
            <w:tcW w:type="dxa" w:w="26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Fase 2.</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Won't Have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Análise preditiva de churn</w:t>
            </w:r>
          </w:p>
        </w:tc>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Requer histórico longo de dados e modelos adicionais.</w:t>
            </w:r>
          </w:p>
        </w:tc>
        <w:tc>
          <w:tcPr>
            <w:tcW w:type="dxa" w:w="26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Fase 3.</w:t>
            </w:r>
          </w:p>
        </w:tc>
      </w:tr>
    </w:tbl>
    <w:p>
      <w:pPr>
        <w:spacing w:before="60" w:after="200" w:line="276"/>
        <w:jc w:val="center"/>
      </w:pPr>
      <w:r>
        <w:rPr>
          <w:rFonts w:ascii="Arial" w:cs="Arial" w:eastAsia="Arial" w:hAnsi="Arial"/>
          <w:color w:val="94A3B8"/>
          <w:sz w:val="20"/>
          <w:szCs w:val="20"/>
        </w:rPr>
        <w:t xml:space="preserve">Quadro 1 — Priorização de funcionalidades do MVP (MoSCoW). Elaboração própria.</w:t>
      </w:r>
    </w:p>
    <w:p>
      <w:pPr>
        <w:pStyle w:val="Heading2"/>
        <w:spacing w:before="400" w:after="160" w:line="276"/>
      </w:pPr>
      <w:r>
        <w:rPr>
          <w:rFonts w:ascii="Arial" w:cs="Arial" w:eastAsia="Arial" w:hAnsi="Arial"/>
          <w:b/>
          <w:bCs/>
          <w:color w:val="1E293B"/>
          <w:sz w:val="24"/>
          <w:szCs w:val="24"/>
        </w:rPr>
        <w:t xml:space="preserve">2.3 Critérios de Aceitação do MVP (Go / No-Go)</w:t>
      </w:r>
    </w:p>
    <w:p>
      <w:pPr>
        <w:spacing w:before="80" w:after="200" w:line="360"/>
        <w:jc w:val="both"/>
      </w:pPr>
      <w:r>
        <w:rPr>
          <w:rFonts w:ascii="Times New Roman" w:cs="Times New Roman" w:eastAsia="Times New Roman" w:hAnsi="Times New Roman"/>
          <w:b w:val="false"/>
          <w:bCs w:val="false"/>
          <w:color w:val="475569"/>
          <w:sz w:val="24"/>
          <w:szCs w:val="24"/>
        </w:rPr>
        <w:t xml:space="preserve">Ao final da Fase 1 (6 semanas), o MVP será considerado bem-sucedido se atender a todos os critérios abaixo. Caso contrário, o produto deve ser repivotado antes de avançar para a Fase 2:</w:t>
      </w:r>
    </w:p>
    <w:p>
      <w:pPr>
        <w:pStyle w:val="ListParagraph"/>
        <w:numPr>
          <w:ilvl w:val="0"/>
          <w:numId w:val="2"/>
        </w:numPr>
        <w:spacing w:before="60" w:after="80" w:line="320"/>
        <w:jc w:val="both"/>
      </w:pPr>
      <w:r>
        <w:rPr>
          <w:rFonts w:ascii="Times New Roman" w:cs="Times New Roman" w:eastAsia="Times New Roman" w:hAnsi="Times New Roman"/>
          <w:color w:val="475569"/>
          <w:sz w:val="24"/>
          <w:szCs w:val="24"/>
        </w:rPr>
        <w:t xml:space="preserve">Taxa de classificação correta dos temas ≥ 80% nas sessões de validação com usuários reais;</w:t>
      </w:r>
    </w:p>
    <w:p>
      <w:pPr>
        <w:pStyle w:val="ListParagraph"/>
        <w:numPr>
          <w:ilvl w:val="0"/>
          <w:numId w:val="2"/>
        </w:numPr>
        <w:spacing w:before="60" w:after="80" w:line="320"/>
        <w:jc w:val="both"/>
      </w:pPr>
      <w:r>
        <w:rPr>
          <w:rFonts w:ascii="Times New Roman" w:cs="Times New Roman" w:eastAsia="Times New Roman" w:hAnsi="Times New Roman"/>
          <w:color w:val="475569"/>
          <w:sz w:val="24"/>
          <w:szCs w:val="24"/>
        </w:rPr>
        <w:t xml:space="preserve">Mínimo de 70% dos usuários-teste avaliam o plano de ação como diretamente utilizável;</w:t>
      </w:r>
    </w:p>
    <w:p>
      <w:pPr>
        <w:pStyle w:val="ListParagraph"/>
        <w:numPr>
          <w:ilvl w:val="0"/>
          <w:numId w:val="2"/>
        </w:numPr>
        <w:spacing w:before="60" w:after="80" w:line="320"/>
        <w:jc w:val="both"/>
      </w:pPr>
      <w:r>
        <w:rPr>
          <w:rFonts w:ascii="Times New Roman" w:cs="Times New Roman" w:eastAsia="Times New Roman" w:hAnsi="Times New Roman"/>
          <w:color w:val="475569"/>
          <w:sz w:val="24"/>
          <w:szCs w:val="24"/>
        </w:rPr>
        <w:t xml:space="preserve">Mínimo de 3 sessões de uso espontâneo nos 14 dias após o lançamento interno;</w:t>
      </w:r>
    </w:p>
    <w:p>
      <w:pPr>
        <w:pStyle w:val="ListParagraph"/>
        <w:numPr>
          <w:ilvl w:val="0"/>
          <w:numId w:val="2"/>
        </w:numPr>
        <w:spacing w:before="60" w:after="80" w:line="320"/>
        <w:jc w:val="both"/>
      </w:pPr>
      <w:r>
        <w:rPr>
          <w:rFonts w:ascii="Times New Roman" w:cs="Times New Roman" w:eastAsia="Times New Roman" w:hAnsi="Times New Roman"/>
          <w:color w:val="475569"/>
          <w:sz w:val="24"/>
          <w:szCs w:val="24"/>
        </w:rPr>
        <w:t xml:space="preserve">Zero incidentes de segurança ou vazamento de dados durante o período de testes;</w:t>
      </w:r>
    </w:p>
    <w:p>
      <w:pPr>
        <w:pStyle w:val="ListParagraph"/>
        <w:numPr>
          <w:ilvl w:val="0"/>
          <w:numId w:val="2"/>
        </w:numPr>
        <w:spacing w:before="60" w:after="80" w:line="320"/>
        <w:jc w:val="both"/>
      </w:pPr>
      <w:r>
        <w:rPr>
          <w:rFonts w:ascii="Times New Roman" w:cs="Times New Roman" w:eastAsia="Times New Roman" w:hAnsi="Times New Roman"/>
          <w:color w:val="475569"/>
          <w:sz w:val="24"/>
          <w:szCs w:val="24"/>
        </w:rPr>
        <w:t xml:space="preserve">Tempo de processamento de upload ≤ 3 minutos para arquivos de até 50.000 linhas.</w:t>
      </w:r>
    </w:p>
    <w:p>
      <w:pPr>
        <w:spacing w:before="0" w:after="120"/>
      </w:pPr>
    </w:p>
    <w:p>
      <w:pPr>
        <w:pStyle w:val="Heading1"/>
        <w:pBdr>
          <w:bottom w:val="single" w:color="1E3A5F" w:sz="6" w:space="4"/>
        </w:pBdr>
        <w:spacing w:before="560" w:after="240" w:line="276"/>
      </w:pPr>
      <w:r>
        <w:rPr>
          <w:rFonts w:ascii="Arial" w:cs="Arial" w:eastAsia="Arial" w:hAnsi="Arial"/>
          <w:b/>
          <w:bCs/>
          <w:color w:val="1E3A5F"/>
          <w:sz w:val="28"/>
          <w:szCs w:val="28"/>
        </w:rPr>
        <w:t xml:space="preserve">3. ROADMAP DO PRODUTO</w:t>
      </w:r>
    </w:p>
    <w:p>
      <w:pPr>
        <w:spacing w:before="80" w:after="200" w:line="360"/>
        <w:jc w:val="both"/>
      </w:pPr>
      <w:r>
        <w:rPr>
          <w:rFonts w:ascii="Times New Roman" w:cs="Times New Roman" w:eastAsia="Times New Roman" w:hAnsi="Times New Roman"/>
          <w:b w:val="false"/>
          <w:bCs w:val="false"/>
          <w:color w:val="475569"/>
          <w:sz w:val="24"/>
          <w:szCs w:val="24"/>
        </w:rPr>
        <w:t xml:space="preserve">Conforme apresentado em aula, o roadmap é um instrumento de comunicação estratégica — não um cronograma fechado. Ele indica para onde o produto está indo, quais problemas estão sendo atacados, em qual ordem e com qual objetivo mensurável. Os roadmaps maduros são orientados por outcomes (resultados), não por entregas de feature.</w:t>
      </w:r>
    </w:p>
    <w:p>
      <w:pPr>
        <w:spacing w:before="80" w:after="200" w:line="360"/>
        <w:jc w:val="both"/>
      </w:pPr>
      <w:r>
        <w:rPr>
          <w:rFonts w:ascii="Times New Roman" w:cs="Times New Roman" w:eastAsia="Times New Roman" w:hAnsi="Times New Roman"/>
          <w:b w:val="false"/>
          <w:bCs w:val="false"/>
          <w:color w:val="475569"/>
          <w:sz w:val="24"/>
          <w:szCs w:val="24"/>
        </w:rPr>
        <w:t xml:space="preserve">O roadmap do ClarityAI está estruturado em três fases, cada uma com objetivo, entregáveis e métrica de sucesso definidos. O artefato visual foi construído em FigJam e encontra-se disponível como material complementar.</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400"/>
        <w:gridCol w:w="2826"/>
        <w:gridCol w:w="2000"/>
      </w:tblGrid>
      <w:tr>
        <w:trPr>
          <w:tblHeader/>
        </w:trPr>
        <w:tc>
          <w:tcPr>
            <w:tcW w:type="dxa" w:w="9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Fase</w:t>
            </w:r>
          </w:p>
        </w:tc>
        <w:tc>
          <w:tcPr>
            <w:tcW w:type="dxa" w:w="9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Período</w:t>
            </w:r>
          </w:p>
        </w:tc>
        <w:tc>
          <w:tcPr>
            <w:tcW w:type="dxa" w:w="24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Objetivo Estratégico</w:t>
            </w:r>
          </w:p>
        </w:tc>
        <w:tc>
          <w:tcPr>
            <w:tcW w:type="dxa" w:w="2826"/>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Entregáveis</w:t>
            </w:r>
          </w:p>
        </w:tc>
        <w:tc>
          <w:tcPr>
            <w:tcW w:type="dxa" w:w="20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Métrica de Sucesso</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Fase 1
Validar</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Sem. 1–6</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Provar que o insight gerado pela IA é útil e acionável para o time do cliente.</w:t>
            </w:r>
          </w:p>
        </w:tc>
        <w:tc>
          <w:tcPr>
            <w:tcW w:type="dxa" w:w="28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MVP funcional (CSV, classificação, dashboard, plano de ação); 3+ sessões de validação com o cliente.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70% dos planos de ação aprovados como utilizáveis.</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Fase 2
Escalar</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Sem. 7–14</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Aumentar a adoção interna e garantir uso recorrente e autônomo.</w:t>
            </w:r>
          </w:p>
        </w:tc>
        <w:tc>
          <w:tcPr>
            <w:tcW w:type="dxa" w:w="28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Integração API Zendesk/Freshdesk; alertas automáticos; comparativos históricos; onboarding guiado.</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50% de redução no tempo de triagem manual.</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Fase 3
Evoluir</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Sem. 15–24</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Transformar o ClarityAI em ferramenta estratégica e expandir para novos clientes.</w:t>
            </w:r>
          </w:p>
        </w:tc>
        <w:tc>
          <w:tcPr>
            <w:tcW w:type="dxa" w:w="28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Análise preditiva; correlação NPS/churn; arquitetura multi-tenant; API pública.</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1 problema evitado via alerta preditivo; NPS do produto &gt; 50.</w:t>
            </w:r>
          </w:p>
        </w:tc>
      </w:tr>
    </w:tbl>
    <w:p>
      <w:pPr>
        <w:spacing w:before="60" w:after="200" w:line="276"/>
        <w:jc w:val="center"/>
      </w:pPr>
      <w:r>
        <w:rPr>
          <w:rFonts w:ascii="Arial" w:cs="Arial" w:eastAsia="Arial" w:hAnsi="Arial"/>
          <w:color w:val="94A3B8"/>
          <w:sz w:val="20"/>
          <w:szCs w:val="20"/>
        </w:rPr>
        <w:t xml:space="preserve">Quadro 2 — Roadmap do produto ClarityAI por fases. Elaboração própria.</w:t>
      </w:r>
    </w:p>
    <w:p>
      <w:pPr>
        <w:spacing w:before="0" w:after="120"/>
      </w:pPr>
    </w:p>
    <w:p>
      <w:pPr>
        <w:pStyle w:val="Heading1"/>
        <w:pBdr>
          <w:bottom w:val="single" w:color="1E3A5F" w:sz="6" w:space="4"/>
        </w:pBdr>
        <w:spacing w:before="560" w:after="240" w:line="276"/>
      </w:pPr>
      <w:r>
        <w:rPr>
          <w:rFonts w:ascii="Arial" w:cs="Arial" w:eastAsia="Arial" w:hAnsi="Arial"/>
          <w:b/>
          <w:bCs/>
          <w:color w:val="1E3A5F"/>
          <w:sz w:val="28"/>
          <w:szCs w:val="28"/>
        </w:rPr>
        <w:t xml:space="preserve">4. CICLO DE VIDA DA APLICAÇÃO</w:t>
      </w:r>
    </w:p>
    <w:p>
      <w:pPr>
        <w:spacing w:before="80" w:after="200" w:line="360"/>
        <w:jc w:val="both"/>
      </w:pPr>
      <w:r>
        <w:rPr>
          <w:rFonts w:ascii="Times New Roman" w:cs="Times New Roman" w:eastAsia="Times New Roman" w:hAnsi="Times New Roman"/>
          <w:b w:val="false"/>
          <w:bCs w:val="false"/>
          <w:color w:val="475569"/>
          <w:sz w:val="24"/>
          <w:szCs w:val="24"/>
        </w:rPr>
        <w:t xml:space="preserve">O ciclo de vida do ClarityAI é baseado no modelo do Triplo Diamante (Descobrir → Definir → Desenvolver → Entregar), conforme referenciado nos conteúdos da Aula 04. Cada fase possui critérios claros de avanço, evitando que o projeto progrida com hipóteses não validadas.</w:t>
      </w:r>
    </w:p>
    <w:p>
      <w:pPr>
        <w:pStyle w:val="Heading3"/>
        <w:spacing w:before="280" w:after="120" w:line="276"/>
      </w:pPr>
      <w:r>
        <w:rPr>
          <w:rFonts w:ascii="Arial" w:cs="Arial" w:eastAsia="Arial" w:hAnsi="Arial"/>
          <w:b/>
          <w:bCs/>
          <w:color w:val="475569"/>
          <w:sz w:val="24"/>
          <w:szCs w:val="24"/>
        </w:rPr>
        <w:t xml:space="preserve">a) Descoberta (Discovery)</w:t>
      </w:r>
    </w:p>
    <w:p>
      <w:pPr>
        <w:spacing w:before="80" w:after="200" w:line="360"/>
        <w:jc w:val="both"/>
      </w:pPr>
      <w:r>
        <w:rPr>
          <w:rFonts w:ascii="Times New Roman" w:cs="Times New Roman" w:eastAsia="Times New Roman" w:hAnsi="Times New Roman"/>
          <w:b w:val="false"/>
          <w:bCs w:val="false"/>
          <w:color w:val="475569"/>
          <w:sz w:val="24"/>
          <w:szCs w:val="24"/>
        </w:rPr>
        <w:t xml:space="preserve">Atividades: entrevistas com o time do cliente, análise do volume e formato dos dados de atendimento, mapeamento dos sistemas de suporte em uso, identificação das personas usuárias e suas principais dores.</w:t>
      </w:r>
    </w:p>
    <w:p>
      <w:pPr>
        <w:spacing w:before="80" w:after="200" w:line="360"/>
        <w:jc w:val="both"/>
      </w:pPr>
      <w:r>
        <w:rPr>
          <w:rFonts w:ascii="Times New Roman" w:cs="Times New Roman" w:eastAsia="Times New Roman" w:hAnsi="Times New Roman"/>
          <w:b w:val="false"/>
          <w:bCs w:val="false"/>
          <w:color w:val="475569"/>
          <w:sz w:val="24"/>
          <w:szCs w:val="24"/>
        </w:rPr>
        <w:t xml:space="preserve">Critério de avanço: hipótese de valor validada qualitativamente — o time confirma não conseguir agir na velocidade que o negócio exige, e demonstra disposição para adotar uma ferramenta de IA.</w:t>
      </w:r>
    </w:p>
    <w:p>
      <w:pPr>
        <w:pStyle w:val="Heading3"/>
        <w:spacing w:before="280" w:after="120" w:line="276"/>
      </w:pPr>
      <w:r>
        <w:rPr>
          <w:rFonts w:ascii="Arial" w:cs="Arial" w:eastAsia="Arial" w:hAnsi="Arial"/>
          <w:b/>
          <w:bCs/>
          <w:color w:val="475569"/>
          <w:sz w:val="24"/>
          <w:szCs w:val="24"/>
        </w:rPr>
        <w:t xml:space="preserve">b) Validação</w:t>
      </w:r>
    </w:p>
    <w:p>
      <w:pPr>
        <w:spacing w:before="80" w:after="200" w:line="360"/>
        <w:jc w:val="both"/>
      </w:pPr>
      <w:r>
        <w:rPr>
          <w:rFonts w:ascii="Times New Roman" w:cs="Times New Roman" w:eastAsia="Times New Roman" w:hAnsi="Times New Roman"/>
          <w:b w:val="false"/>
          <w:bCs w:val="false"/>
          <w:color w:val="475569"/>
          <w:sz w:val="24"/>
          <w:szCs w:val="24"/>
        </w:rPr>
        <w:t xml:space="preserve">Atividades: construção e lançamento do MVP, testes com usuários reais, coleta de métricas de uso e satisfação, ajuste fino do modelo de classificação com dados reais do cliente.</w:t>
      </w:r>
    </w:p>
    <w:p>
      <w:pPr>
        <w:spacing w:before="80" w:after="200" w:line="360"/>
        <w:jc w:val="both"/>
      </w:pPr>
      <w:r>
        <w:rPr>
          <w:rFonts w:ascii="Times New Roman" w:cs="Times New Roman" w:eastAsia="Times New Roman" w:hAnsi="Times New Roman"/>
          <w:b w:val="false"/>
          <w:bCs w:val="false"/>
          <w:color w:val="475569"/>
          <w:sz w:val="24"/>
          <w:szCs w:val="24"/>
        </w:rPr>
        <w:t xml:space="preserve">Critério de avanço: atingimento dos critérios de Go/No-Go definidos na seção 2.3, com evidência de uso espontâneo e recorrente.</w:t>
      </w:r>
    </w:p>
    <w:p>
      <w:pPr>
        <w:pStyle w:val="Heading3"/>
        <w:spacing w:before="280" w:after="120" w:line="276"/>
      </w:pPr>
      <w:r>
        <w:rPr>
          <w:rFonts w:ascii="Arial" w:cs="Arial" w:eastAsia="Arial" w:hAnsi="Arial"/>
          <w:b/>
          <w:bCs/>
          <w:color w:val="475569"/>
          <w:sz w:val="24"/>
          <w:szCs w:val="24"/>
        </w:rPr>
        <w:t xml:space="preserve">c) Entrega (Delivery)</w:t>
      </w:r>
    </w:p>
    <w:p>
      <w:pPr>
        <w:spacing w:before="80" w:after="200" w:line="360"/>
        <w:jc w:val="both"/>
      </w:pPr>
      <w:r>
        <w:rPr>
          <w:rFonts w:ascii="Times New Roman" w:cs="Times New Roman" w:eastAsia="Times New Roman" w:hAnsi="Times New Roman"/>
          <w:b w:val="false"/>
          <w:bCs w:val="false"/>
          <w:color w:val="475569"/>
          <w:sz w:val="24"/>
          <w:szCs w:val="24"/>
        </w:rPr>
        <w:t xml:space="preserve">Atividades: desenvolvimento das integrações nativas via API, expansão de funcionalidades conforme o roadmap da Fase 2, acompanhamento de KPIs de negócio do cliente.</w:t>
      </w:r>
    </w:p>
    <w:p>
      <w:pPr>
        <w:spacing w:before="80" w:after="200" w:line="360"/>
        <w:jc w:val="both"/>
      </w:pPr>
      <w:r>
        <w:rPr>
          <w:rFonts w:ascii="Times New Roman" w:cs="Times New Roman" w:eastAsia="Times New Roman" w:hAnsi="Times New Roman"/>
          <w:b w:val="false"/>
          <w:bCs w:val="false"/>
          <w:color w:val="475569"/>
          <w:sz w:val="24"/>
          <w:szCs w:val="24"/>
        </w:rPr>
        <w:t xml:space="preserve">Critério de avanço: redução mensurável no tempo de triagem manual (meta: 50%), com o produto operando de maneira autônoma sem suporte intensivo da equipe de desenvolvimento.</w:t>
      </w:r>
    </w:p>
    <w:p>
      <w:pPr>
        <w:pStyle w:val="Heading3"/>
        <w:spacing w:before="280" w:after="120" w:line="276"/>
      </w:pPr>
      <w:r>
        <w:rPr>
          <w:rFonts w:ascii="Arial" w:cs="Arial" w:eastAsia="Arial" w:hAnsi="Arial"/>
          <w:b/>
          <w:bCs/>
          <w:color w:val="475569"/>
          <w:sz w:val="24"/>
          <w:szCs w:val="24"/>
        </w:rPr>
        <w:t xml:space="preserve">d) Evolução</w:t>
      </w:r>
    </w:p>
    <w:p>
      <w:pPr>
        <w:spacing w:before="80" w:after="200" w:line="360"/>
        <w:jc w:val="both"/>
      </w:pPr>
      <w:r>
        <w:rPr>
          <w:rFonts w:ascii="Times New Roman" w:cs="Times New Roman" w:eastAsia="Times New Roman" w:hAnsi="Times New Roman"/>
          <w:b w:val="false"/>
          <w:bCs w:val="false"/>
          <w:color w:val="475569"/>
          <w:sz w:val="24"/>
          <w:szCs w:val="24"/>
        </w:rPr>
        <w:t xml:space="preserve">Atividades: implementação de análise preditiva de tendências, expansão da plataforma para novos clientes via arquitetura multi-tenant, abertura de API pública para integrações customizadas.</w:t>
      </w:r>
    </w:p>
    <w:p>
      <w:pPr>
        <w:spacing w:before="80" w:after="200" w:line="360"/>
        <w:jc w:val="both"/>
      </w:pPr>
      <w:r>
        <w:rPr>
          <w:rFonts w:ascii="Times New Roman" w:cs="Times New Roman" w:eastAsia="Times New Roman" w:hAnsi="Times New Roman"/>
          <w:b w:val="false"/>
          <w:bCs w:val="false"/>
          <w:color w:val="475569"/>
          <w:sz w:val="24"/>
          <w:szCs w:val="24"/>
        </w:rPr>
        <w:t xml:space="preserve">Critério de avanço: NPS do produto estável acima de 50, com receita recorrente suficiente para sustentar o roadmap de evolução sem dependência de investimento adicional.</w:t>
      </w:r>
    </w:p>
    <w:p>
      <w:pPr>
        <w:spacing w:before="0" w:after="120"/>
      </w:pPr>
    </w:p>
    <w:p>
      <w:pPr>
        <w:pStyle w:val="Heading1"/>
        <w:pBdr>
          <w:bottom w:val="single" w:color="1E3A5F" w:sz="6" w:space="4"/>
        </w:pBdr>
        <w:spacing w:before="560" w:after="240" w:line="276"/>
      </w:pPr>
      <w:r>
        <w:rPr>
          <w:rFonts w:ascii="Arial" w:cs="Arial" w:eastAsia="Arial" w:hAnsi="Arial"/>
          <w:b/>
          <w:bCs/>
          <w:color w:val="1E3A5F"/>
          <w:sz w:val="28"/>
          <w:szCs w:val="28"/>
        </w:rPr>
        <w:t xml:space="preserve">5. GERENCIAMENTO DE RISCOS</w:t>
      </w:r>
    </w:p>
    <w:p>
      <w:pPr>
        <w:spacing w:before="80" w:after="200" w:line="360"/>
        <w:jc w:val="both"/>
      </w:pPr>
      <w:r>
        <w:rPr>
          <w:rFonts w:ascii="Times New Roman" w:cs="Times New Roman" w:eastAsia="Times New Roman" w:hAnsi="Times New Roman"/>
          <w:b w:val="false"/>
          <w:bCs w:val="false"/>
          <w:color w:val="475569"/>
          <w:sz w:val="24"/>
          <w:szCs w:val="24"/>
        </w:rPr>
        <w:t xml:space="preserve">A metodologia de gerenciamento de riscos adotada segue as diretrizes do PMBOK (Project Management Institute), com identificação, classificação por Probabilidade e Impacto, e definição de estratégias de mitigação para cada risco mapeado. Foram identificados sete riscos relevantes, detalhados no quadro a seguir.</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00"/>
        <w:gridCol w:w="700"/>
        <w:gridCol w:w="700"/>
        <w:gridCol w:w="3126"/>
        <w:gridCol w:w="1400"/>
      </w:tblGrid>
      <w:tr>
        <w:trPr>
          <w:tblHeader/>
        </w:trPr>
        <w:tc>
          <w:tcPr>
            <w:tcW w:type="dxa" w:w="5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20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Risco</w:t>
            </w:r>
          </w:p>
        </w:tc>
        <w:tc>
          <w:tcPr>
            <w:tcW w:type="dxa" w:w="6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Prob.</w:t>
            </w:r>
          </w:p>
        </w:tc>
        <w:tc>
          <w:tcPr>
            <w:tcW w:type="dxa" w:w="7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Impacto</w:t>
            </w:r>
          </w:p>
        </w:tc>
        <w:tc>
          <w:tcPr>
            <w:tcW w:type="dxa" w:w="7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Nível</w:t>
            </w:r>
          </w:p>
        </w:tc>
        <w:tc>
          <w:tcPr>
            <w:tcW w:type="dxa" w:w="3126"/>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Estratégia de Mitigação</w:t>
            </w:r>
          </w:p>
        </w:tc>
        <w:tc>
          <w:tcPr>
            <w:tcW w:type="dxa" w:w="14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Resp.</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R01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Dados com baixa qualidade (campos vazios, idioma misto)</w:t>
            </w:r>
          </w:p>
        </w:tc>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Alta</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Alto</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Crítico</w:t>
            </w:r>
          </w:p>
        </w:tc>
        <w:tc>
          <w:tcPr>
            <w:tcW w:type="dxa" w:w="31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Auditoria de dados pré-desenvolvimento. Pipeline de data cleaning. Contrato de qualidade com cliente.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Tech Lead + PM</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R02</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Resistência à adoção pelo time interno</w:t>
            </w:r>
          </w:p>
        </w:tc>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Média</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Alto</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Alto</w:t>
            </w:r>
          </w:p>
        </w:tc>
        <w:tc>
          <w:tcPr>
            <w:tcW w:type="dxa" w:w="31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Envolver usuários-chave desde o Discovery. Demonstrar ganho com dados reais. Onboarding guiado.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PM + CS</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R03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Alucinação e imprecisão do modelo de IA</w:t>
            </w:r>
          </w:p>
        </w:tc>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Média</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Alto</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Alto</w:t>
            </w:r>
          </w:p>
        </w:tc>
        <w:tc>
          <w:tcPr>
            <w:tcW w:type="dxa" w:w="31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Revisão humana no MVP. Fine-tuning com dados do cliente. Feedback loop para correção de erros.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AI Eng. + PM</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R04</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Escopo crescente (Scope Creep)</w:t>
            </w:r>
          </w:p>
        </w:tc>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Alta</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Médio</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Alto</w:t>
            </w:r>
          </w:p>
        </w:tc>
        <w:tc>
          <w:tcPr>
            <w:tcW w:type="dxa" w:w="31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Escopo documentado e assinado. Processo formal de Change Request. MoSCoW revisado a cada sprint.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PM</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R05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Prazo insuficiente para validação do MVP</w:t>
            </w:r>
          </w:p>
        </w:tc>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Baixa</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Alto</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Médio</w:t>
            </w:r>
          </w:p>
        </w:tc>
        <w:tc>
          <w:tcPr>
            <w:tcW w:type="dxa" w:w="31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Sprints de 2 semanas com Review. Acesso ao cliente desde a Sprint 1. Buffer de 20% no cronograma.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SM + PM</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R06</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Dependência de fornecedor de LLM externo</w:t>
            </w:r>
          </w:p>
        </w:tc>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Média</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Médio</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Médio</w:t>
            </w:r>
          </w:p>
        </w:tc>
        <w:tc>
          <w:tcPr>
            <w:tcW w:type="dxa" w:w="3126"/>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Abstração da camada de LLM. Fallback open-source (Llama/Mistral). Monitoramento de SLA do provedor.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Tech Lead</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1E3A5F"/>
                <w:sz w:val="18"/>
                <w:szCs w:val="18"/>
              </w:rPr>
              <w:t xml:space="preserve">R07</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Vazamento de dados sensíveis (não conformidade LGPD)</w:t>
            </w:r>
          </w:p>
        </w:tc>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Baixa</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Alto</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Médio</w:t>
            </w:r>
          </w:p>
        </w:tc>
        <w:tc>
          <w:tcPr>
            <w:tcW w:type="dxa" w:w="3126"/>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Anonimização antes do envio ao LLM. DPA assinado. Auditoria de segurança pré-go-live.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jc w:val="both"/>
            </w:pPr>
            <w:r>
              <w:rPr>
                <w:rFonts w:ascii="Times New Roman" w:cs="Times New Roman" w:eastAsia="Times New Roman" w:hAnsi="Times New Roman"/>
                <w:b w:val="false"/>
                <w:bCs w:val="false"/>
                <w:color w:val="475569"/>
                <w:sz w:val="18"/>
                <w:szCs w:val="18"/>
              </w:rPr>
              <w:t xml:space="preserve">Tech Lead + Jur.</w:t>
            </w:r>
          </w:p>
        </w:tc>
      </w:tr>
    </w:tbl>
    <w:p>
      <w:pPr>
        <w:spacing w:before="60" w:after="200" w:line="276"/>
        <w:jc w:val="center"/>
      </w:pPr>
      <w:r>
        <w:rPr>
          <w:rFonts w:ascii="Arial" w:cs="Arial" w:eastAsia="Arial" w:hAnsi="Arial"/>
          <w:color w:val="94A3B8"/>
          <w:sz w:val="20"/>
          <w:szCs w:val="20"/>
        </w:rPr>
        <w:t xml:space="preserve">Quadro 3 — Matriz de Riscos do ClarityAI (Probabilidade × Impacto). Baseado em PMI/PMBOK.</w:t>
      </w:r>
    </w:p>
    <w:p>
      <w:pPr>
        <w:spacing w:before="0" w:after="160"/>
      </w:pPr>
    </w:p>
    <w:p>
      <w:pPr>
        <w:spacing w:before="80" w:after="200" w:line="360"/>
        <w:jc w:val="both"/>
      </w:pPr>
      <w:r>
        <w:rPr>
          <w:rFonts w:ascii="Times New Roman" w:cs="Times New Roman" w:eastAsia="Times New Roman" w:hAnsi="Times New Roman"/>
          <w:b w:val="false"/>
          <w:bCs w:val="false"/>
          <w:color w:val="475569"/>
          <w:sz w:val="24"/>
          <w:szCs w:val="24"/>
        </w:rPr>
        <w:t xml:space="preserve">É importante destacar que o risco R01 (dados com baixa qualidade) foi classificado como Crítico por possuir alta probabilidade e alto impacto, sendo o único risco deste nível. Sua mitigação é condição necessária para o sucesso de todos os demais riscos, pois toda a cadeia de valor do produto depende da qualidade dos dados de entrada — conforme o princípio amplamente reconhecido no campo de dados: garbage in, garbage out.</w:t>
      </w:r>
    </w:p>
    <w:p>
      <w:pPr>
        <w:spacing w:before="0" w:after="120"/>
      </w:pPr>
    </w:p>
    <w:p>
      <w:pPr>
        <w:pStyle w:val="Heading1"/>
        <w:pBdr>
          <w:bottom w:val="single" w:color="1E3A5F" w:sz="6" w:space="4"/>
        </w:pBdr>
        <w:spacing w:before="560" w:after="240" w:line="276"/>
      </w:pPr>
      <w:r>
        <w:rPr>
          <w:rFonts w:ascii="Arial" w:cs="Arial" w:eastAsia="Arial" w:hAnsi="Arial"/>
          <w:b/>
          <w:bCs/>
          <w:color w:val="1E3A5F"/>
          <w:sz w:val="28"/>
          <w:szCs w:val="28"/>
        </w:rPr>
        <w:t xml:space="preserve">6. GESTÃO DE PRODUTOS COM INTELIGÊNCIA ARTIFICIAL</w:t>
      </w:r>
    </w:p>
    <w:p>
      <w:pPr>
        <w:pStyle w:val="Heading2"/>
        <w:spacing w:before="400" w:after="160" w:line="276"/>
      </w:pPr>
      <w:r>
        <w:rPr>
          <w:rFonts w:ascii="Arial" w:cs="Arial" w:eastAsia="Arial" w:hAnsi="Arial"/>
          <w:b/>
          <w:bCs/>
          <w:color w:val="1E293B"/>
          <w:sz w:val="24"/>
          <w:szCs w:val="24"/>
        </w:rPr>
        <w:t xml:space="preserve">6.1 Riscos Específicos no Uso de IA Generativa</w:t>
      </w:r>
    </w:p>
    <w:p>
      <w:pPr>
        <w:spacing w:before="80" w:after="200" w:line="360"/>
        <w:jc w:val="both"/>
      </w:pPr>
      <w:r>
        <w:rPr>
          <w:rFonts w:ascii="Times New Roman" w:cs="Times New Roman" w:eastAsia="Times New Roman" w:hAnsi="Times New Roman"/>
          <w:b w:val="false"/>
          <w:bCs w:val="false"/>
          <w:color w:val="475569"/>
          <w:sz w:val="24"/>
          <w:szCs w:val="24"/>
        </w:rPr>
        <w:t xml:space="preserve">O uso de Inteligência Artificial Generativa em um produto de suporte ao cliente introduz riscos que diferem substancialmente dos projetos de software tradicionais e que demandam atenção específica na gestão do produto.</w:t>
      </w:r>
    </w:p>
    <w:p>
      <w:pPr>
        <w:spacing w:before="80" w:after="200" w:line="360"/>
        <w:jc w:val="both"/>
      </w:pPr>
      <w:r>
        <w:rPr>
          <w:rFonts w:ascii="Times New Roman" w:cs="Times New Roman" w:eastAsia="Times New Roman" w:hAnsi="Times New Roman"/>
          <w:b w:val="false"/>
          <w:bCs w:val="false"/>
          <w:color w:val="475569"/>
          <w:sz w:val="24"/>
          <w:szCs w:val="24"/>
        </w:rPr>
        <w:t xml:space="preserve">O risco de alucinação é o mais crítico: modelos de linguagem podem gerar insights plausíveis, mas factualmente incorretos, especialmente quando os dados de entrada são ambíguos, incompletos ou contraditórios. Em um contexto operacional, um plano de ação equivocado pode gerar consequências mais prejudiciais do que a ausência de qualquer plano.</w:t>
      </w:r>
    </w:p>
    <w:p>
      <w:pPr>
        <w:spacing w:before="80" w:after="200" w:line="360"/>
        <w:jc w:val="both"/>
      </w:pPr>
      <w:r>
        <w:rPr>
          <w:rFonts w:ascii="Times New Roman" w:cs="Times New Roman" w:eastAsia="Times New Roman" w:hAnsi="Times New Roman"/>
          <w:b w:val="false"/>
          <w:bCs w:val="false"/>
          <w:color w:val="475569"/>
          <w:sz w:val="24"/>
          <w:szCs w:val="24"/>
        </w:rPr>
        <w:t xml:space="preserve">O risco de viés algorítmico também merece atenção: caso o conjunto de dados de atendimento contenha desproporção por tipo de cliente, canal ou região, os insights gerados pela IA podem refletir esse viés — invisibilizando problemas de grupos sub-representados nas interações e distorcendo a percepção de prioridade do time.</w:t>
      </w:r>
    </w:p>
    <w:p>
      <w:pPr>
        <w:spacing w:before="80" w:after="200" w:line="360"/>
        <w:jc w:val="both"/>
      </w:pPr>
      <w:r>
        <w:rPr>
          <w:rFonts w:ascii="Times New Roman" w:cs="Times New Roman" w:eastAsia="Times New Roman" w:hAnsi="Times New Roman"/>
          <w:b w:val="false"/>
          <w:bCs w:val="false"/>
          <w:color w:val="475569"/>
          <w:sz w:val="24"/>
          <w:szCs w:val="24"/>
        </w:rPr>
        <w:t xml:space="preserve">Por fim, o risco de dependência de infraestrutura de terceiros implica que qualquer solução construída sobre APIs proprietárias de LLM (como OpenAI ou Anthropic) está sujeita a mudanças unilaterais de preço, política de uso, disponibilidade do serviço ou descontinuação do produto.</w:t>
      </w:r>
    </w:p>
    <w:p>
      <w:pPr>
        <w:pStyle w:val="Heading2"/>
        <w:spacing w:before="400" w:after="160" w:line="276"/>
      </w:pPr>
      <w:r>
        <w:rPr>
          <w:rFonts w:ascii="Arial" w:cs="Arial" w:eastAsia="Arial" w:hAnsi="Arial"/>
          <w:b/>
          <w:bCs/>
          <w:color w:val="1E293B"/>
          <w:sz w:val="24"/>
          <w:szCs w:val="24"/>
        </w:rPr>
        <w:t xml:space="preserve">6.2 Considerações Éticas, de Segurança e Confiabilidade</w:t>
      </w:r>
    </w:p>
    <w:p>
      <w:pPr>
        <w:spacing w:before="80" w:after="200" w:line="360"/>
        <w:jc w:val="both"/>
      </w:pPr>
      <w:r>
        <w:rPr>
          <w:rFonts w:ascii="Times New Roman" w:cs="Times New Roman" w:eastAsia="Times New Roman" w:hAnsi="Times New Roman"/>
          <w:b w:val="false"/>
          <w:bCs w:val="false"/>
          <w:color w:val="475569"/>
          <w:sz w:val="24"/>
          <w:szCs w:val="24"/>
        </w:rPr>
        <w:t xml:space="preserve">Os dados de atendimento ao cliente contêm informações pessoais potencialmente sensíveis: nome completo, endereço, histórico de compras e reclamações, e, em alguns contextos, dados financeiros. O tratamento dessas informações deve obedecer rigorosamente à Lei Geral de Proteção de Dados — LGPD (Lei nº 13.709/2018), com base legal claramente estabelecida, princípio da minimização de dados e garantia dos direitos dos titulares.</w:t>
      </w:r>
    </w:p>
    <w:p>
      <w:pPr>
        <w:spacing w:before="80" w:after="200" w:line="360"/>
        <w:jc w:val="both"/>
      </w:pPr>
      <w:r>
        <w:rPr>
          <w:rFonts w:ascii="Times New Roman" w:cs="Times New Roman" w:eastAsia="Times New Roman" w:hAnsi="Times New Roman"/>
          <w:b w:val="false"/>
          <w:bCs w:val="false"/>
          <w:color w:val="475569"/>
          <w:sz w:val="24"/>
          <w:szCs w:val="24"/>
        </w:rPr>
        <w:t xml:space="preserve">Do ponto de vista ético, o ClarityAI deve ser transparente com os usuários internos sobre as limitações dos insights gerados pela IA. O sistema deve apresentar índices de confiança nas classificações e oferecer mecanismos de correção acessíveis — evitando que a ferramenta seja tratada como um oráculo infalível e que decisões críticas sejam tomadas sem a devida análise humana.</w:t>
      </w:r>
    </w:p>
    <w:p>
      <w:pPr>
        <w:spacing w:before="80" w:after="200" w:line="360"/>
        <w:jc w:val="both"/>
      </w:pPr>
      <w:r>
        <w:rPr>
          <w:rFonts w:ascii="Times New Roman" w:cs="Times New Roman" w:eastAsia="Times New Roman" w:hAnsi="Times New Roman"/>
          <w:b w:val="false"/>
          <w:bCs w:val="false"/>
          <w:color w:val="475569"/>
          <w:sz w:val="24"/>
          <w:szCs w:val="24"/>
        </w:rPr>
        <w:t xml:space="preserve">A confiabilidade do sistema é diretamente proporcional à qualidade dos dados de entrada. Por isso, a auditoria de dados e o contrato de qualidade com o cliente são requisitos não-funcionais obrigatórios antes do go-live, e não atividades opcionais de melhoria contínua.</w:t>
      </w:r>
    </w:p>
    <w:p>
      <w:pPr>
        <w:pStyle w:val="Heading2"/>
        <w:spacing w:before="400" w:after="160" w:line="276"/>
      </w:pPr>
      <w:r>
        <w:rPr>
          <w:rFonts w:ascii="Arial" w:cs="Arial" w:eastAsia="Arial" w:hAnsi="Arial"/>
          <w:b/>
          <w:bCs/>
          <w:color w:val="1E293B"/>
          <w:sz w:val="24"/>
          <w:szCs w:val="24"/>
        </w:rPr>
        <w:t xml:space="preserve">6.3 Impactos Organizacionais do Uso de IA no Produto</w:t>
      </w:r>
    </w:p>
    <w:p>
      <w:pPr>
        <w:spacing w:before="80" w:after="200" w:line="360"/>
        <w:jc w:val="both"/>
      </w:pPr>
      <w:r>
        <w:rPr>
          <w:rFonts w:ascii="Times New Roman" w:cs="Times New Roman" w:eastAsia="Times New Roman" w:hAnsi="Times New Roman"/>
          <w:b w:val="false"/>
          <w:bCs w:val="false"/>
          <w:color w:val="475569"/>
          <w:sz w:val="24"/>
          <w:szCs w:val="24"/>
        </w:rPr>
        <w:t xml:space="preserve">A adoção do ClarityAI no contexto organizacional do cliente gera três impactos principais que devem ser considerados no plano de gestão de mudança:</w:t>
      </w:r>
    </w:p>
    <w:p>
      <w:pPr>
        <w:pStyle w:val="ListParagraph"/>
        <w:numPr>
          <w:ilvl w:val="0"/>
          <w:numId w:val="2"/>
        </w:numPr>
        <w:spacing w:before="60" w:after="80" w:line="320"/>
        <w:jc w:val="both"/>
      </w:pPr>
      <w:r>
        <w:rPr>
          <w:rFonts w:ascii="Times New Roman" w:cs="Times New Roman" w:eastAsia="Times New Roman" w:hAnsi="Times New Roman"/>
          <w:color w:val="475569"/>
          <w:sz w:val="24"/>
          <w:szCs w:val="24"/>
        </w:rPr>
        <w:t xml:space="preserve">Requalificação do time de suporte: analistas que antes executavam triagem manual passam a atuar como validadores e interpretadores dos insights gerados pela IA — uma função de maior valor agregado e menor esforço operacional. Esta transição exige capacitação específica e gestão de mudança cuidadosa para evitar resistência.</w:t>
      </w:r>
    </w:p>
    <w:p>
      <w:pPr>
        <w:pStyle w:val="ListParagraph"/>
        <w:numPr>
          <w:ilvl w:val="0"/>
          <w:numId w:val="2"/>
        </w:numPr>
        <w:spacing w:before="60" w:after="80" w:line="320"/>
        <w:jc w:val="both"/>
      </w:pPr>
      <w:r>
        <w:rPr>
          <w:rFonts w:ascii="Times New Roman" w:cs="Times New Roman" w:eastAsia="Times New Roman" w:hAnsi="Times New Roman"/>
          <w:color w:val="475569"/>
          <w:sz w:val="24"/>
          <w:szCs w:val="24"/>
        </w:rPr>
        <w:t xml:space="preserve">Aceleração do ciclo de decisão: a principal promessa do produto é comprimir o ciclo de identificação-ação de semanas para minutos. Isso altera a dinâmica operacional do time, que precisa estar preparado para agir com mais velocidade a partir dos planos de ação gerados — o que pode requerer revisão de processos internos.</w:t>
      </w:r>
    </w:p>
    <w:p>
      <w:pPr>
        <w:pStyle w:val="ListParagraph"/>
        <w:numPr>
          <w:ilvl w:val="0"/>
          <w:numId w:val="2"/>
        </w:numPr>
        <w:spacing w:before="60" w:after="80" w:line="320"/>
        <w:jc w:val="both"/>
      </w:pPr>
      <w:r>
        <w:rPr>
          <w:rFonts w:ascii="Times New Roman" w:cs="Times New Roman" w:eastAsia="Times New Roman" w:hAnsi="Times New Roman"/>
          <w:color w:val="475569"/>
          <w:sz w:val="24"/>
          <w:szCs w:val="24"/>
        </w:rPr>
        <w:t xml:space="preserve">Risco de dependência tecnológica: à medida que o time confia crescentemente nos insights da IA, há risco de atrofia do senso crítico manual. O produto deve ser deliberadamente projetado para amplificar a capacidade humana, e não para substituí-la — mantendo o humano no loop das decisões de maior impacto organizacional.</w:t>
      </w:r>
    </w:p>
    <w:p>
      <w:pPr>
        <w:spacing w:before="0" w:after="160"/>
      </w:pPr>
    </w:p>
    <w:p>
      <w:pPr>
        <w:pStyle w:val="Heading1"/>
        <w:pBdr>
          <w:bottom w:val="single" w:color="1E3A5F" w:sz="6" w:space="4"/>
        </w:pBdr>
        <w:spacing w:before="560" w:after="240" w:line="276"/>
      </w:pPr>
      <w:r>
        <w:rPr>
          <w:rFonts w:ascii="Arial" w:cs="Arial" w:eastAsia="Arial" w:hAnsi="Arial"/>
          <w:b/>
          <w:bCs/>
          <w:color w:val="1E3A5F"/>
          <w:sz w:val="28"/>
          <w:szCs w:val="28"/>
        </w:rPr>
        <w:t xml:space="preserve">REFERÊNCIAS</w:t>
      </w:r>
    </w:p>
    <w:p>
      <w:pPr>
        <w:spacing w:before="80" w:after="200" w:line="360"/>
        <w:jc w:val="both"/>
      </w:pPr>
      <w:r>
        <w:rPr>
          <w:rFonts w:ascii="Times New Roman" w:cs="Times New Roman" w:eastAsia="Times New Roman" w:hAnsi="Times New Roman"/>
          <w:b w:val="false"/>
          <w:bCs w:val="false"/>
          <w:color w:val="475569"/>
          <w:sz w:val="24"/>
          <w:szCs w:val="24"/>
        </w:rPr>
        <w:t xml:space="preserve">PROJECT MANAGEMENT INSTITUTE (PMI). A Guide to the Project Management Body of Knowledge — PMBOK Guide. 7. ed. Newtown Square: PMI, 2021. Disponível em: https://www.pmi.org</w:t>
      </w:r>
    </w:p>
    <w:p>
      <w:pPr>
        <w:spacing w:before="80" w:after="200" w:line="360"/>
        <w:jc w:val="both"/>
      </w:pPr>
      <w:r>
        <w:rPr>
          <w:rFonts w:ascii="Times New Roman" w:cs="Times New Roman" w:eastAsia="Times New Roman" w:hAnsi="Times New Roman"/>
          <w:b w:val="false"/>
          <w:bCs w:val="false"/>
          <w:color w:val="475569"/>
          <w:sz w:val="24"/>
          <w:szCs w:val="24"/>
        </w:rPr>
        <w:t xml:space="preserve">SCHWABER, Ken; SUTHERLAND, Jeff. The Scrum Guide: The Definitive Guide to Scrum — The Rules of the Game. 2020. Disponível em: https://scrumguides.org</w:t>
      </w:r>
    </w:p>
    <w:p>
      <w:pPr>
        <w:spacing w:before="80" w:after="200" w:line="360"/>
        <w:jc w:val="both"/>
      </w:pPr>
      <w:r>
        <w:rPr>
          <w:rFonts w:ascii="Times New Roman" w:cs="Times New Roman" w:eastAsia="Times New Roman" w:hAnsi="Times New Roman"/>
          <w:b w:val="false"/>
          <w:bCs w:val="false"/>
          <w:color w:val="475569"/>
          <w:sz w:val="24"/>
          <w:szCs w:val="24"/>
        </w:rPr>
        <w:t xml:space="preserve">LISBOA, Paulo. Fundamentos de Gerenciamento de Projetos — Aulas 01 a 05. Material didático da disciplina. Centro Universitário UniFECAF, 2025.</w:t>
      </w:r>
    </w:p>
    <w:p>
      <w:pPr>
        <w:spacing w:before="80" w:after="200" w:line="360"/>
        <w:jc w:val="both"/>
      </w:pPr>
      <w:r>
        <w:rPr>
          <w:rFonts w:ascii="Times New Roman" w:cs="Times New Roman" w:eastAsia="Times New Roman" w:hAnsi="Times New Roman"/>
          <w:b w:val="false"/>
          <w:bCs w:val="false"/>
          <w:color w:val="475569"/>
          <w:sz w:val="24"/>
          <w:szCs w:val="24"/>
        </w:rPr>
        <w:t xml:space="preserve">BRASIL. Lei nº 13.709, de 14 de agosto de 2018 — Lei Geral de Proteção de Dados Pessoais (LGPD). Disponível em: https://www.planalto.gov.br</w:t>
      </w:r>
    </w:p>
    <w:p>
      <w:pPr>
        <w:spacing w:before="80" w:after="200" w:line="360"/>
        <w:jc w:val="both"/>
      </w:pPr>
      <w:r>
        <w:rPr>
          <w:rFonts w:ascii="Times New Roman" w:cs="Times New Roman" w:eastAsia="Times New Roman" w:hAnsi="Times New Roman"/>
          <w:b w:val="false"/>
          <w:bCs w:val="false"/>
          <w:color w:val="475569"/>
          <w:sz w:val="24"/>
          <w:szCs w:val="24"/>
        </w:rPr>
        <w:t xml:space="preserve">OSTERWALDER, Alexander; PIGNEUR, Yves. Business Model Generation. John Wiley &amp; Sons, 2010.</w:t>
      </w:r>
    </w:p>
    <w:sectPr>
      <w:headerReference w:type="default" r:id="rId6"/>
      <w:footerReference w:type="default" r:id="rId7"/>
      <w:pgSz w:w="11906" w:h="16838" w:orient="portrait"/>
      <w:pgMar w:top="1701" w:right="1134"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8"/>
      </w:pBdr>
      <w:spacing w:before="0"/>
      <w:jc w:val="center"/>
    </w:pPr>
    <w:r>
      <w:rPr>
        <w:rFonts w:ascii="Arial" w:cs="Arial" w:eastAsia="Arial" w:hAnsi="Arial"/>
        <w:color w:val="94A3B8"/>
        <w:sz w:val="18"/>
        <w:szCs w:val="18"/>
      </w:rPr>
      <w:t xml:space="preserve">Fundamentos de Gerenciamento de Projetos — UniFECAF    |    Pág.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8"/>
      </w:pBdr>
      <w:tabs>
        <w:tab w:val="right" w:pos="9026"/>
      </w:tabs>
      <w:spacing w:after="0"/>
    </w:pPr>
    <w:r>
      <w:rPr>
        <w:rFonts w:ascii="Arial" w:cs="Arial" w:eastAsia="Arial" w:hAnsi="Arial"/>
        <w:b/>
        <w:bCs/>
        <w:color w:val="1E3A5F"/>
        <w:sz w:val="18"/>
        <w:szCs w:val="18"/>
      </w:rPr>
      <w:t xml:space="preserve">ClarityAI — Do Problema ao Produto</w:t>
    </w:r>
    <w:r>
      <w:rPr>
        <w:rFonts w:ascii="Arial" w:cs="Arial" w:eastAsia="Arial" w:hAnsi="Arial"/>
        <w:sz w:val="18"/>
        <w:szCs w:val="18"/>
      </w:rPr>
      <w:t xml:space="preserve">	</w:t>
    </w:r>
    <w:r>
      <w:rPr>
        <w:rFonts w:ascii="Arial" w:cs="Arial" w:eastAsia="Arial" w:hAnsi="Arial"/>
        <w:color w:val="94A3B8"/>
        <w:sz w:val="18"/>
        <w:szCs w:val="18"/>
      </w:rPr>
      <w:t xml:space="preserve">UniFECAF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475569"/>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Arial" w:cs="Arial" w:eastAsia="Arial" w:hAnsi="Arial"/>
      <w:b/>
      <w:bCs/>
      <w:caps/>
      <w:color w:val="1E3A5F"/>
      <w:sz w:val="28"/>
      <w:szCs w:val="28"/>
    </w:rPr>
  </w:style>
  <w:style w:type="paragraph" w:styleId="Heading2">
    <w:name w:val="Heading 2"/>
    <w:basedOn w:val="Normal"/>
    <w:next w:val="Normal"/>
    <w:qFormat/>
    <w:pPr>
      <w:spacing w:before="400" w:after="160"/>
      <w:outlineLvl w:val="1"/>
    </w:pPr>
    <w:rPr>
      <w:rFonts w:ascii="Arial" w:cs="Arial" w:eastAsia="Arial" w:hAnsi="Arial"/>
      <w:b/>
      <w:bCs/>
      <w:color w:val="1E293B"/>
      <w:sz w:val="24"/>
      <w:szCs w:val="24"/>
    </w:rPr>
  </w:style>
  <w:style w:type="paragraph" w:styleId="Heading3">
    <w:name w:val="Heading 3"/>
    <w:basedOn w:val="Normal"/>
    <w:next w:val="Normal"/>
    <w:qFormat/>
    <w:pPr>
      <w:spacing w:before="280" w:after="12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2026-02-28T17:17:59.469Z</dcterms:created>
  <dcterms:modified xsi:type="dcterms:W3CDTF">2026-02-28T17:17:59.469Z</dcterms:modified>
</cp:coreProperties>
</file>

<file path=docProps/custom.xml><?xml version="1.0" encoding="utf-8"?>
<Properties xmlns="http://schemas.openxmlformats.org/officeDocument/2006/custom-properties" xmlns:vt="http://schemas.openxmlformats.org/officeDocument/2006/docPropsVTypes"/>
</file>