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4292e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40"/>
          <w:szCs w:val="40"/>
          <w:u w:val="singl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40"/>
          <w:szCs w:val="40"/>
          <w:u w:val="single"/>
          <w:rtl w:val="0"/>
        </w:rPr>
        <w:t xml:space="preserve">esenvolvimento de um modelo de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Sumário do problema abordado na 1ª parte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No cenário em questão, um ou mais compradores possuem uma lista de produtos que pretendem comprar. Simultaneamente, vários vendedores anunciarão a venda de diversos produtos.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Cada vendedor fixa um preço mínimo para cada produto que vende, sendo este o valor inicial do produto em leilão (English auction). O mesmo produto, oferecido por diferentes vendedores, pode ter preços diferentes.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Cada comprador estará disposto a gastar um valor máximo por cada produto associado ao respetivo vendedor. O valor máximo que cada comprador se dispõe a gastar será também influenciado por diferentes métricas. Assim, o preço inicial do leilão, a reputação do vendedor e o tempo estimado de entrega do produto influenciarão a decisão do comprador.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Análise de dados preditiva a resolver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Para um produto e dado um vendedor, o seu atraso na entrega do mesmo, o número de potenciais interessados no produto, o número de outros vendedores do mesmo produto, o valor inicial do leilão (valor mínimo da venda), pretende-se saber se o produto é vendido ou não e por quanto (classificação e regressão).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Variável dependente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A variável dependente em estudo na análise preditiva será a venda (ou não) do produto. O grupo reconhece este caso como sendo um de classificação.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O grupo pretende ainda fazer uma análise preditiva por regressão, não só vendo se o produto é vendido ou não mas por quanto (valor contínuo).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6"/>
          <w:szCs w:val="36"/>
          <w:rtl w:val="0"/>
        </w:rPr>
        <w:t xml:space="preserve">Alguns exemplos de variáveis independentes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Como variáveis independentes, o grupo pensou em utilizar: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valor inicial do leilão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: dado por uma distribuição Gaussiana com um certo valor médio e desvio padrão, sendo estas variáveis independentes por si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nome do vendedor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: para efeitos de identificação do mesmo apenas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atraso de entrega do vendedor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: o atraso que um vendedor tem em média a entregar o produto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número de leilões do mesmo produto (de outros vendedores)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: basicamente impondo mais ou menos concorrência na venda do produto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número de potenciais compradores interessados no nosso produto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: aumentando ou diminuindo a procura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CENAS: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desvio percentual entre a média e o valor inicial de venda (media/ (inicial * 100))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24292e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desvio entre o valor maximo medio dos buyers e o initial value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