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Prática 02 – Implementação em JAVA do TAD Árvore Symetric Binary B-Tree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João Guilherme Monteiro Guimarães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entrega:</w:t>
      </w:r>
      <w:r w:rsidDel="00000000" w:rsidR="00000000" w:rsidRPr="00000000">
        <w:rPr>
          <w:sz w:val="24"/>
          <w:szCs w:val="24"/>
          <w:rtl w:val="0"/>
        </w:rPr>
        <w:t xml:space="preserve"> 22/03/2019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276225</wp:posOffset>
            </wp:positionV>
            <wp:extent cx="5734050" cy="3416300"/>
            <wp:effectExtent b="0" l="0" r="0" t="0"/>
            <wp:wrapSquare wrapText="bothSides" distB="114300" distT="114300" distL="114300" distR="114300"/>
            <wp:docPr descr="Gráfico" id="2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c)</w:t>
      </w:r>
    </w:p>
    <w:p w:rsidR="00000000" w:rsidDel="00000000" w:rsidP="00000000" w:rsidRDefault="00000000" w:rsidRPr="00000000" w14:paraId="0000000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3362325</wp:posOffset>
            </wp:positionV>
            <wp:extent cx="5734050" cy="3543300"/>
            <wp:effectExtent b="0" l="0" r="0" t="0"/>
            <wp:wrapSquare wrapText="bothSides" distB="114300" distT="114300" distL="114300" distR="114300"/>
            <wp:docPr descr="Gráfico" id="1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d)</w:t>
      </w:r>
    </w:p>
    <w:p w:rsidR="00000000" w:rsidDel="00000000" w:rsidP="00000000" w:rsidRDefault="00000000" w:rsidRPr="00000000" w14:paraId="0000001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</w:t>
      </w:r>
      <w:r w:rsidDel="00000000" w:rsidR="00000000" w:rsidRPr="00000000">
        <w:rPr>
          <w:sz w:val="24"/>
          <w:szCs w:val="24"/>
          <w:rtl w:val="0"/>
        </w:rPr>
        <w:t xml:space="preserve">Realizando uma análise do gráfico da questão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é possível perceber que os valores obtidos tanto pela inserção ordenada quanto pela inserção aleatória, são bem próximos, e isso ocorre devido ao balanceamento durante a inserção dos dados.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lembrar, que a grande desvantagem da Árvore SBB é o tempo de inserção, que não é calculado neste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</w:t>
      </w:r>
      <w:r w:rsidDel="00000000" w:rsidR="00000000" w:rsidRPr="00000000">
        <w:rPr>
          <w:sz w:val="24"/>
          <w:szCs w:val="24"/>
          <w:rtl w:val="0"/>
        </w:rPr>
        <w:t xml:space="preserve"> Comparando os dados obtidos neste relatório com o relatório anterior, é possível perceber que a Árvore Binária Sem Balanceamento sofre bastante com a inserção ordenada de elementos, e este tipo de problema não ocorre na Árvore SBB, já que mantém os tempos e comparações semelhantes nos dois tipos de inserções.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