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FIST OF GUTHIX</w:t>
      </w:r>
    </w:p>
    <w:p>
      <w:pPr>
        <w:pStyle w:val="Subtitle"/>
      </w:pPr>
      <w:r>
        <w:t>Revision 727 | Mechanics and evidence reference</w:t>
      </w:r>
    </w:p>
    <w:p>
      <w:pPr>
        <w:pStyle w:val="Subtitle"/>
      </w:pPr>
      <w:r>
        <w:t>Target: July 2012 live game | Documentary revision: 25 September 2026</w:t>
      </w:r>
    </w:p>
    <w:p>
      <w:r>
        <w:t>A reconstruction specification for RuneScape revision 727: charging, survival, teleportation, combat permissions, results and rewards. The production target is the July 2012 live game, not the January 2010 comparison document or the later Evolution of Combat ruleset. Exact values remain distinguished from reported values and implementation assumptions.</w:t>
      </w:r>
    </w:p>
    <w:p>
      <w:pPr>
        <w:ind w:left="173" w:right="115"/>
        <w:shd w:fill="EDF3F5"/>
      </w:pPr>
      <w:r>
        <w:t>Three quantities belong to the target economy: CHARGES decide the match; RATING records competitive performance; physical FIST OF GUTHIX TOKENS buy and repair rewards. Thaler is outside this target. There is no clay-style deposit stage. [S01, S05, S10, S35]</w:t>
      </w:r>
    </w:p>
    <w:tbl>
      <w:tblPr>
        <w:tblW w:type="auto" w:w="0"/>
        <w:jc w:val="center"/>
        <w:tblLayout w:type="fixed"/>
        <w:tblLook w:firstColumn="1" w:firstRow="1" w:lastColumn="0" w:lastRow="0" w:noHBand="0" w:noVBand="1" w:val="04A0"/>
      </w:tblPr>
      <w:tblGrid>
        <w:gridCol w:w="2477"/>
        <w:gridCol w:w="5429"/>
        <w:gridCol w:w="2261"/>
      </w:tblGrid>
      <w:tr>
        <w:trPr>
          <w:tblHeader/>
          <w:cantSplit/>
        </w:trPr>
        <w:tc>
          <w:tcPr>
            <w:tcW w:type="dxa" w:w="247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Core parameter</w:t>
            </w:r>
          </w:p>
        </w:tc>
        <w:tc>
          <w:tcPr>
            <w:tcW w:type="dxa" w:w="542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Documented value</w:t>
            </w:r>
          </w:p>
        </w:tc>
        <w:tc>
          <w:tcPr>
            <w:tcW w:type="dxa" w:w="2261"/>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Evidence</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Match / round</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2 rounds; 1 hunter and 1 hunted per pairing</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S08-S10</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Round ceiling</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 minutes; 5,000 charges</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S06, S13, S14</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 cadence / centre</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About 3 seconds; 28 charges per pulse</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S07, S09, S14</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Per-match supplies</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5 bandages; 300 catalytic; 1,000 elemental; 1 tele-orb</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S08</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Portal activation / re-entry</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charges; 20-second house re-entry restriction</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S07, S08, S10</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lobby minimum</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16 players; later 8/4 reductions excluded</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B/C | S06, S39</w:t>
            </w:r>
          </w:p>
        </w:tc>
      </w:tr>
      <w:tr>
        <w:trPr>
          <w:cantSplit/>
        </w:trPr>
        <w:tc>
          <w:tcPr>
            <w:tcW w:type="dxa" w:w="2477"/>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forfeit treatment</w:t>
            </w:r>
          </w:p>
        </w:tc>
        <w:tc>
          <w:tcPr>
            <w:tcW w:type="dxa" w:w="54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Historical penalties; do not add the 2015 120-second cooldown</w:t>
            </w:r>
          </w:p>
        </w:tc>
        <w:tc>
          <w:tcPr>
            <w:tcW w:type="dxa" w:w="2261"/>
            <w:vAlign w:val="center"/>
            <w:tcMar>
              <w:top w:w="70" w:type="dxa"/>
              <w:bottom w:w="70" w:type="dxa"/>
              <w:left w:w="95" w:type="dxa"/>
              <w:right w:w="95" w:type="dxa"/>
            </w:tcMar>
            <w:tcBorders>
              <w:bottom w:val="single" w:sz="3" w:color="D8E1E5"/>
            </w:tcBorders>
          </w:tcPr>
          <w:p>
            <w:pPr>
              <w:spacing w:after="0" w:before="0" w:line="245" w:lineRule="auto"/>
            </w:pPr>
            <w:r>
              <w:rPr>
                <w:b w:val="0"/>
                <w:sz w:val="20"/>
              </w:rPr>
              <w:t>S10; S02 exclusion</w:t>
            </w:r>
          </w:p>
        </w:tc>
      </w:tr>
    </w:tbl>
    <w:p>
      <w:pPr>
        <w:spacing w:after="60" w:before="0" w:line="240" w:lineRule="auto"/>
      </w:pPr>
      <w:r>
        <w:rPr>
          <w:sz w:val="4"/>
        </w:rPr>
      </w:r>
    </w:p>
    <w:p>
      <w:r>
        <w:t>Evidence key: A = original Jagex statement; B = corroborated documentary description; C = single or weakly authenticated historical report; R = supplied report of older cache/client data, not yet verified against 727; X = conflict; D = derived calculation; U = unresolved. Source age, content revision and evidence strength are independent.</w:t>
      </w:r>
    </w:p>
    <w:p>
      <w:r>
        <w:t>Sections 1-9 specify the match; 10-13 preserve the target-era reward evidence; 14 reconciles the supplied 2010 report; 15 records candidate IDs, geometry and client wiring for the 727 audit. Appendices preserve equipment numbers, conflicts, tests and formulas. Matching 727 gamevals, cache and scripts have not yet been inspected.</w:t>
      </w:r>
    </w:p>
    <w:p>
      <w:r>
        <w:br w:type="page"/>
      </w:r>
    </w:p>
    <w:p>
      <w:pPr>
        <w:pStyle w:val="Heading1"/>
      </w:pPr>
      <w:r>
        <w:t>1. Revision 727 scope and evidence</w:t>
      </w:r>
    </w:p>
    <w:p>
      <w:pPr>
        <w:pStyle w:val="Heading2"/>
      </w:pPr>
      <w:r>
        <w:t>1.1 Applicable boundaries and later exclusions</w:t>
      </w:r>
    </w:p>
    <w:tbl>
      <w:tblPr>
        <w:tblW w:type="auto" w:w="0"/>
        <w:jc w:val="center"/>
        <w:tblLayout w:type="fixed"/>
        <w:tblLook w:firstColumn="1" w:firstRow="1" w:lastColumn="0" w:lastRow="0" w:noHBand="0" w:noVBand="1" w:val="04A0"/>
      </w:tblPr>
      <w:tblGrid>
        <w:gridCol w:w="1930"/>
        <w:gridCol w:w="6610"/>
        <w:gridCol w:w="1627"/>
      </w:tblGrid>
      <w:tr>
        <w:trPr>
          <w:tblHeader/>
          <w:cantSplit/>
        </w:trPr>
        <w:tc>
          <w:tcPr>
            <w:tcW w:type="dxa" w:w="193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Date / profile</w:t>
            </w:r>
          </w:p>
        </w:tc>
        <w:tc>
          <w:tcPr>
            <w:tcW w:type="dxa" w:w="661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Change or distinction</w:t>
            </w:r>
          </w:p>
        </w:tc>
        <w:tc>
          <w:tcPr>
            <w:tcW w:type="dxa" w:w="162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Source</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9 Apr 2008</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Launch; free-to-play and members. No skill or quest prerequisite.</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S01</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3 Dec 2009</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Most FoG reward recharge costs reduced; gloves excluded. This resolves the missing change date.</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S40</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July 2012 / revision 727</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profile: pre-EoC combat with life-point terminology. Older and later data are labeled comparisons.</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Project target; S10, S39</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Feb 2011</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Jagex explicitly relocates FoG into Gamers' Grotto north of Falador.</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S41</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23 Aug 2011</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Hybrid armour introduced; Fist of Guthix supplies gloves.</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A/B | S03, S31</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Nov 2012</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Evolution of Combat released. Baseline combat and displayed equipment statistics changed.</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S04</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23 Jun 2014</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Wiki chronology: lobby requirement reduced from 16 to 8.</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 S06</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18 May 2015</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Minigame Spotlight and thaler introduced.</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S05</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 Aug 2015</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Major FoG rework: lobby 4, combat changes, virtual tokens, reward additions/removals.</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 S02</w:t>
            </w:r>
          </w:p>
        </w:tc>
      </w:tr>
      <w:tr>
        <w:trPr>
          <w:cantSplit/>
        </w:trPr>
        <w:tc>
          <w:tcPr>
            <w:tcW w:type="dxa" w:w="19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18 Jul 2016</w:t>
            </w:r>
          </w:p>
        </w:tc>
        <w:tc>
          <w:tcPr>
            <w:tcW w:type="dxa" w:w="66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Wiki patch chronology lists further spell restrictions.</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 S06</w:t>
            </w:r>
          </w:p>
        </w:tc>
      </w:tr>
    </w:tbl>
    <w:p>
      <w:pPr>
        <w:spacing w:after="60" w:before="0" w:line="240" w:lineRule="auto"/>
      </w:pPr>
      <w:r>
        <w:rPr>
          <w:sz w:val="4"/>
        </w:rPr>
      </w:r>
    </w:p>
    <w:p>
      <w:r>
        <w:t>The target is revision 727, July 2012, live-game mechanics. Matching target artifacts take precedence for the data and code they actually contain. The January 2010 report is comparative material: its claimed build-530 definitions and build-578 client scripts are not a 727 dump. Later sources can corroborate earlier observations, but lack of a documented change does not prove that a rule was identical. [S39, introduction and section 10]</w:t>
      </w:r>
    </w:p>
    <w:p>
      <w:bookmarkStart w:id="13" w:name="section_13"/>
      <w:pPr>
        <w:pStyle w:val="Heading2"/>
      </w:pPr>
      <w:r>
        <w:t>1.2 What the counters actually mean</w:t>
      </w:r>
      <w:bookmarkEnd w:id="13"/>
    </w:p>
    <w:tbl>
      <w:tblPr>
        <w:tblW w:type="auto" w:w="0"/>
        <w:jc w:val="center"/>
        <w:tblLayout w:type="fixed"/>
        <w:tblLook w:firstColumn="1" w:firstRow="1" w:lastColumn="0" w:lastRow="0" w:noHBand="0" w:noVBand="1" w:val="04A0"/>
      </w:tblPr>
      <w:tblGrid>
        <w:gridCol w:w="1814"/>
        <w:gridCol w:w="4406"/>
        <w:gridCol w:w="3946"/>
      </w:tblGrid>
      <w:tr>
        <w:trPr>
          <w:tblHeader/>
          <w:cantSplit/>
        </w:trPr>
        <w:tc>
          <w:tcPr>
            <w:tcW w:type="dxa" w:w="181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Quantity</w:t>
            </w:r>
          </w:p>
        </w:tc>
        <w:tc>
          <w:tcPr>
            <w:tcW w:type="dxa" w:w="440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Scope</w:t>
            </w:r>
          </w:p>
        </w:tc>
        <w:tc>
          <w:tcPr>
            <w:tcW w:type="dxa" w:w="394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Do not confuse with</w:t>
            </w:r>
          </w:p>
        </w:tc>
      </w:tr>
      <w:tr>
        <w:trPr>
          <w:cantSplit/>
        </w:trPr>
        <w:tc>
          <w:tcPr>
            <w:tcW w:type="dxa" w:w="18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Charges / primal energy</w:t>
            </w:r>
          </w:p>
        </w:tc>
        <w:tc>
          <w:tcPr>
            <w:tcW w:type="dxa" w:w="44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Score accumulated during the hunted round, capped at 5,000.</w:t>
            </w:r>
          </w:p>
        </w:tc>
        <w:tc>
          <w:tcPr>
            <w:tcW w:type="dxa" w:w="3946"/>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carried resource that must be banked or deposited.</w:t>
            </w:r>
          </w:p>
        </w:tc>
      </w:tr>
      <w:tr>
        <w:trPr>
          <w:cantSplit/>
        </w:trPr>
        <w:tc>
          <w:tcPr>
            <w:tcW w:type="dxa" w:w="18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Rating</w:t>
            </w:r>
          </w:p>
        </w:tc>
        <w:tc>
          <w:tcPr>
            <w:tcW w:type="dxa" w:w="44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Persistent competitive result metric; not spent at the shop.</w:t>
            </w:r>
          </w:p>
        </w:tc>
        <w:tc>
          <w:tcPr>
            <w:tcW w:type="dxa" w:w="3946"/>
            <w:vAlign w:val="center"/>
            <w:tcMar>
              <w:top w:w="70" w:type="dxa"/>
              <w:bottom w:w="70" w:type="dxa"/>
              <w:left w:w="95" w:type="dxa"/>
              <w:right w:w="95" w:type="dxa"/>
            </w:tcMar>
            <w:tcBorders>
              <w:bottom w:val="single" w:sz="3" w:color="D8E1E5"/>
            </w:tcBorders>
          </w:tcPr>
          <w:p>
            <w:pPr>
              <w:spacing w:after="0" w:before="0" w:line="245" w:lineRule="auto"/>
            </w:pPr>
            <w:r>
              <w:rPr>
                <w:b w:val="0"/>
                <w:sz w:val="20"/>
              </w:rPr>
              <w:t>FoG tokens or a published Elo formula.</w:t>
            </w:r>
          </w:p>
        </w:tc>
      </w:tr>
      <w:tr>
        <w:trPr>
          <w:cantSplit/>
        </w:trPr>
        <w:tc>
          <w:tcPr>
            <w:tcW w:type="dxa" w:w="18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FoG tokens</w:t>
            </w:r>
          </w:p>
        </w:tc>
        <w:tc>
          <w:tcPr>
            <w:tcW w:type="dxa" w:w="44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Physical reward currency for Reggie in the target era. The later virtual-currency change is excluded.</w:t>
            </w:r>
          </w:p>
        </w:tc>
        <w:tc>
          <w:tcPr>
            <w:tcW w:type="dxa" w:w="3946"/>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fixed fraction of collected charges.</w:t>
            </w:r>
          </w:p>
        </w:tc>
      </w:tr>
    </w:tbl>
    <w:p>
      <w:pPr>
        <w:spacing w:after="60" w:before="0" w:line="240" w:lineRule="auto"/>
      </w:pPr>
      <w:r>
        <w:rPr>
          <w:sz w:val="4"/>
        </w:rPr>
      </w:r>
    </w:p>
    <w:p>
      <w:pPr>
        <w:pStyle w:val="Caption"/>
      </w:pPr>
      <w:r>
        <w:t>Counter distinctions: [S01, S10, S35]. Thaler exclusion: [S05].</w:t>
      </w:r>
    </w:p>
    <w:p>
      <w:r>
        <w:t>A pulse means the roughly three-second scoring event, not an engine tick. Use life points for the July 2012 profile; retain the original units beside older observations. A pre-Constitution number, a later percentage and a 2012 flat life-point amount are not interchangeable without validating the rule as well as the scale. [S10, S18, S39]</w:t>
      </w:r>
    </w:p>
    <w:p>
      <w:bookmarkStart w:id="14" w:name="section_14"/>
      <w:pPr>
        <w:pStyle w:val="Heading1"/>
      </w:pPr>
      <w:r>
        <w:t>2. Entry, pairing and the match state machine</w:t>
      </w:r>
      <w:bookmarkEnd w:id="14"/>
    </w:p>
    <w:p>
      <w:bookmarkStart w:id="15" w:name="section_15"/>
      <w:pPr>
        <w:pStyle w:val="Heading2"/>
      </w:pPr>
      <w:r>
        <w:t>2.1 Access and queue</w:t>
      </w:r>
      <w:bookmarkEnd w:id="15"/>
    </w:p>
    <w:p>
      <w:r>
        <w:t>Fiara introduces the activity. Coulson references from later quest-state descriptions are not part of this target specification. Players queue and are paired automatically; the launch announcement sets a 250-player per-world activity cap. Initial roles are described as random, but the pairing algorithm is unresolved. A 1v1 pairing does not imply an arena containing only two visible players. [S01, S08, S10]</w:t>
      </w:r>
    </w:p>
    <w:p>
      <w:r>
        <w:t>Use the historical 16-player start threshold as the documentary target. The 2014 reduction to 8 and 2015 reduction to 4 are later boundaries. Sixteen waiting players does not by itself prove a batch scheduler that always creates exactly eight matches; queue ordering, odd-player handling and the launch cadence remain open. [S06, S39; S02 exclusion]</w:t>
      </w:r>
    </w:p>
    <w:p>
      <w:r>
        <w:t>Access is through Gamers' Grotto north of Falador, following the official relocation of 1 February 2011. The supplied Wilderness entrance coordinate belongs to an earlier layout. The additional 2015 entrance move must not be backported; confirm the 727 passage and overworld exit coordinates from its own map and scripts. [S41, S02, S39]</w:t>
      </w:r>
    </w:p>
    <w:p>
      <w:bookmarkStart w:id="16" w:name="section_16"/>
      <w:pPr>
        <w:pStyle w:val="Heading2"/>
      </w:pPr>
      <w:r>
        <w:t>2.2 State transitions</w:t>
      </w:r>
      <w:bookmarkEnd w:id="16"/>
    </w:p>
    <w:tbl>
      <w:tblPr>
        <w:tblW w:type="auto" w:w="0"/>
        <w:jc w:val="center"/>
        <w:tblLayout w:type="fixed"/>
        <w:tblLook w:firstColumn="1" w:firstRow="1" w:lastColumn="0" w:lastRow="0" w:noHBand="0" w:noVBand="1" w:val="04A0"/>
      </w:tblPr>
      <w:tblGrid>
        <w:gridCol w:w="2088"/>
        <w:gridCol w:w="4435"/>
        <w:gridCol w:w="3643"/>
      </w:tblGrid>
      <w:tr>
        <w:trPr>
          <w:tblHeader/>
          <w:cantSplit/>
        </w:trPr>
        <w:tc>
          <w:tcPr>
            <w:tcW w:type="dxa" w:w="208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State / event</w:t>
            </w:r>
          </w:p>
        </w:tc>
        <w:tc>
          <w:tcPr>
            <w:tcW w:type="dxa" w:w="443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Required behaviour</w:t>
            </w:r>
          </w:p>
        </w:tc>
        <w:tc>
          <w:tcPr>
            <w:tcW w:type="dxa" w:w="3643"/>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Unresolved detail</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Queue -&gt; pairing</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Choose opponent and initial roles; provide one match supply allocation.</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Matchmaking weights, queue ordering, exact countdown.</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Round starts</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Place players at arena start positions; hunted obtains and equips stone.</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Spawn table, first scoring-pulse phase.</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During hunted turn</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Accumulate score while eligible; hunter tries to kill hunted.</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Exact terrain map and stat-drain function.</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Hunted dies</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End that round and preserve its score.</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Same-tick death versus scoring priority.</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Hunter dies</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Respawn hunter; hunted round continues.</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Edge versus random spawn descriptions; respawn delay.</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600 seconds or 5,000 charges</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End round; swap roles after round 1, resolve match after round 2.</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Endpoint processing and displayed cap clamping.</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Round swap</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Restore character statistics; retain consumed-supply state.</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Every buff, cooldown and poison reset edge case.</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Normal match end</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Higher charge score wins; equal scores count as a loss for both.</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Exact token and rating equations.</w:t>
            </w:r>
          </w:p>
        </w:tc>
      </w:tr>
      <w:tr>
        <w:trPr>
          <w:cantSplit/>
        </w:trPr>
        <w:tc>
          <w:tcPr>
            <w:tcW w:type="dxa" w:w="2088"/>
            <w:vAlign w:val="center"/>
            <w:tcMar>
              <w:top w:w="70" w:type="dxa"/>
              <w:bottom w:w="70" w:type="dxa"/>
              <w:left w:w="95" w:type="dxa"/>
              <w:right w:w="95" w:type="dxa"/>
            </w:tcMar>
            <w:tcBorders>
              <w:bottom w:val="single" w:sz="3" w:color="D8E1E5"/>
            </w:tcBorders>
          </w:tcPr>
          <w:p>
            <w:pPr>
              <w:spacing w:after="0" w:before="0" w:line="245" w:lineRule="auto"/>
            </w:pPr>
            <w:r>
              <w:rPr>
                <w:b w:val="0"/>
                <w:sz w:val="20"/>
              </w:rPr>
              <w:t>Leave / log out / forfeit</w:t>
            </w:r>
          </w:p>
        </w:tc>
        <w:tc>
          <w:tcPr>
            <w:tcW w:type="dxa" w:w="4435"/>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Resolve exceptional termination and applicable penalties.</w:t>
            </w:r>
          </w:p>
        </w:tc>
        <w:tc>
          <w:tcPr>
            <w:tcW w:type="dxa" w:w="3643"/>
            <w:vAlign w:val="center"/>
            <w:tcMar>
              <w:top w:w="70" w:type="dxa"/>
              <w:bottom w:w="70" w:type="dxa"/>
              <w:left w:w="95" w:type="dxa"/>
              <w:right w:w="95" w:type="dxa"/>
            </w:tcMar>
            <w:tcBorders>
              <w:bottom w:val="single" w:sz="3" w:color="D8E1E5"/>
            </w:tcBorders>
          </w:tcPr>
          <w:p>
            <w:pPr>
              <w:spacing w:after="0" w:before="0" w:line="245" w:lineRule="auto"/>
            </w:pPr>
            <w:r>
              <w:rPr>
                <w:b w:val="0"/>
                <w:sz w:val="20"/>
              </w:rPr>
              <w:t>Disconnect grace interval and compensation branch.</w:t>
            </w:r>
          </w:p>
        </w:tc>
      </w:tr>
    </w:tbl>
    <w:p>
      <w:pPr>
        <w:spacing w:after="60" w:before="0" w:line="240" w:lineRule="auto"/>
      </w:pPr>
      <w:r>
        <w:rPr>
          <w:sz w:val="4"/>
        </w:rPr>
      </w:r>
    </w:p>
    <w:p>
      <w:pPr>
        <w:pStyle w:val="Caption"/>
      </w:pPr>
      <w:r>
        <w:rPr>
          <w:b w:val="0"/>
        </w:rPr>
        <w:t>State descriptions synthesized from [S06-S10, S13]; unresolved entries are not default implementation values.</w:t>
      </w:r>
    </w:p>
    <w:p>
      <w:r>
        <w:rPr>
          <w:b w:val="0"/>
        </w:rPr>
        <w:t xml:space="preserve">Do not end a match merely because the </w:t>
      </w:r>
      <w:r>
        <w:rPr>
          <w:b/>
        </w:rPr>
        <w:t>hunter</w:t>
      </w:r>
      <w:r>
        <w:rPr>
          <w:b w:val="0"/>
        </w:rPr>
        <w:t xml:space="preserve"> dies. Do not add an early second-round cutoff merely because the current hunted score exceeds the first-round score: the recovered descriptions do not establish that optimization. The intended comparison is the players' hunted scores, not kills, damage dealt or remaining health.</w:t>
      </w:r>
    </w:p>
    <w:p>
      <w:bookmarkStart w:id="17" w:name="section_17"/>
      <w:pPr>
        <w:pStyle w:val="Heading2"/>
      </w:pPr>
      <w:r>
        <w:t>2.3 Safety and inventory rules</w:t>
      </w:r>
      <w:bookmarkEnd w:id="17"/>
    </w:p>
    <w:p>
      <w:r>
        <w:rPr>
          <w:b w:val="0"/>
        </w:rPr>
        <w:t>Death is safe for carried gear, but "safe" does not mean every expendable is refunded. The historical manual exempts ammunition that is destroyed or consumed, naming Karil bolt racks; guides also describe ordinary ammunition breakage. Supplied minigame objects are removed when leaving. [S02, S07, S10, S15-S18]</w:t>
      </w:r>
    </w:p>
    <w:p>
      <w:r>
        <w:t>Ordinary food, potions and runes are barred. Older descriptions also list essence, noted items, afros and unusable inventory/holiday objects; historical guides permit summoning pouches and scrolls. Validate the exact 727 filter and boundary at which it runs. Restoration portents and other later objects are not target-era exclusions to implement. [S06-S08, S39]</w:t>
      </w:r>
    </w:p>
    <w:p>
      <w:bookmarkStart w:id="18" w:name="section_18"/>
      <w:pPr>
        <w:pStyle w:val="Heading1"/>
      </w:pPr>
      <w:r>
        <w:t>3. Supplies, stone and rune accounting</w:t>
      </w:r>
      <w:bookmarkEnd w:id="18"/>
    </w:p>
    <w:p>
      <w:bookmarkStart w:id="19" w:name="section_19"/>
      <w:pPr>
        <w:pStyle w:val="Heading2"/>
      </w:pPr>
      <w:r>
        <w:t>3.1 Match allocation</w:t>
      </w:r>
      <w:bookmarkEnd w:id="19"/>
    </w:p>
    <w:tbl>
      <w:tblPr>
        <w:tblW w:type="auto" w:w="0"/>
        <w:jc w:val="center"/>
        <w:tblLayout w:type="fixed"/>
        <w:tblLook w:firstColumn="1" w:firstRow="1" w:lastColumn="0" w:lastRow="0" w:noHBand="0" w:noVBand="1" w:val="04A0"/>
      </w:tblPr>
      <w:tblGrid>
        <w:gridCol w:w="2318"/>
        <w:gridCol w:w="1138"/>
        <w:gridCol w:w="6710"/>
      </w:tblGrid>
      <w:tr>
        <w:trPr>
          <w:tblHeader/>
          <w:cantSplit/>
        </w:trPr>
        <w:tc>
          <w:tcPr>
            <w:tcW w:type="dxa" w:w="231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Item</w:t>
            </w:r>
          </w:p>
        </w:tc>
        <w:tc>
          <w:tcPr>
            <w:tcW w:type="dxa" w:w="1138"/>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Quantity</w:t>
            </w:r>
          </w:p>
        </w:tc>
        <w:tc>
          <w:tcPr>
            <w:tcW w:type="dxa" w:w="671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Operation / limit</w:t>
            </w:r>
          </w:p>
        </w:tc>
      </w:tr>
      <w:tr>
        <w:trPr>
          <w:cantSplit/>
        </w:trPr>
        <w:tc>
          <w:tcPr>
            <w:tcW w:type="dxa" w:w="23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Bandages</w:t>
            </w:r>
          </w:p>
        </w:tc>
        <w:tc>
          <w:tcPr>
            <w:tcW w:type="dxa" w:w="113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67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Shared across both rounds; healing amount is era-dependent.</w:t>
            </w:r>
          </w:p>
        </w:tc>
      </w:tr>
      <w:tr>
        <w:trPr>
          <w:cantSplit/>
        </w:trPr>
        <w:tc>
          <w:tcPr>
            <w:tcW w:type="dxa" w:w="23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Catalytic runes</w:t>
            </w:r>
          </w:p>
        </w:tc>
        <w:tc>
          <w:tcPr>
            <w:tcW w:type="dxa" w:w="113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w:t>
            </w:r>
          </w:p>
        </w:tc>
        <w:tc>
          <w:tcPr>
            <w:tcW w:type="dxa" w:w="67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Each substitutes for one eligible non-elemental rune unit.</w:t>
            </w:r>
          </w:p>
        </w:tc>
      </w:tr>
      <w:tr>
        <w:trPr>
          <w:cantSplit/>
        </w:trPr>
        <w:tc>
          <w:tcPr>
            <w:tcW w:type="dxa" w:w="23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Elemental runes</w:t>
            </w:r>
          </w:p>
        </w:tc>
        <w:tc>
          <w:tcPr>
            <w:tcW w:type="dxa" w:w="113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1,000</w:t>
            </w:r>
          </w:p>
        </w:tc>
        <w:tc>
          <w:tcPr>
            <w:tcW w:type="dxa" w:w="67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Each substitutes for one elemental rune unit.</w:t>
            </w:r>
          </w:p>
        </w:tc>
      </w:tr>
      <w:tr>
        <w:trPr>
          <w:cantSplit/>
        </w:trPr>
        <w:tc>
          <w:tcPr>
            <w:tcW w:type="dxa" w:w="23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Tele-orb</w:t>
            </w:r>
          </w:p>
        </w:tc>
        <w:tc>
          <w:tcPr>
            <w:tcW w:type="dxa" w:w="113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w:t>
            </w:r>
          </w:p>
        </w:tc>
        <w:tc>
          <w:tcPr>
            <w:tcW w:type="dxa" w:w="67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One centre teleport for the whole match; consumed on use.</w:t>
            </w:r>
          </w:p>
        </w:tc>
      </w:tr>
      <w:tr>
        <w:trPr>
          <w:cantSplit/>
        </w:trPr>
        <w:tc>
          <w:tcPr>
            <w:tcW w:type="dxa" w:w="23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Stone of power</w:t>
            </w:r>
          </w:p>
        </w:tc>
        <w:tc>
          <w:tcPr>
            <w:tcW w:type="dxa" w:w="113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Obtain when hunted</w:t>
            </w:r>
          </w:p>
        </w:tc>
        <w:tc>
          <w:tcPr>
            <w:tcW w:type="dxa" w:w="6710"/>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Take from a dispenser; equip it to charge. Not an extra supply refresh.</w:t>
            </w:r>
          </w:p>
        </w:tc>
      </w:tr>
    </w:tbl>
    <w:p>
      <w:pPr>
        <w:spacing w:after="60" w:before="0" w:line="240" w:lineRule="auto"/>
      </w:pPr>
      <w:r>
        <w:rPr>
          <w:sz w:val="4"/>
        </w:rPr>
      </w:r>
    </w:p>
    <w:p>
      <w:pPr>
        <w:pStyle w:val="Caption"/>
      </w:pPr>
      <w:r>
        <w:rPr>
          <w:b w:val="0"/>
        </w:rPr>
        <w:t>Allocation: [S08]. Rune semantics and orb: [S15-S17]. Stone: [S14].</w:t>
      </w:r>
    </w:p>
    <w:p>
      <w:r>
        <w:t>The role switch restores statistics but does not refill the five bandages, 300 catalytic runes, 1,000 elemental runes or one orb. The supplied report places allocation at waiting-room entry and removal on exit; preserve that as a reported timing detail until target scripts confirm it. No supply should be replenished merely because the role changed. [S08, S39 section 4.2]</w:t>
      </w:r>
    </w:p>
    <w:p>
      <w:pPr>
        <w:pStyle w:val="Heading2"/>
      </w:pPr>
      <w:r>
        <w:t>3.2 Bandage healing: target candidate and comparisons</w:t>
      </w:r>
    </w:p>
    <w:tbl>
      <w:tblPr>
        <w:tblW w:type="auto" w:w="0"/>
        <w:jc w:val="center"/>
        <w:tblLayout w:type="fixed"/>
        <w:tblLook w:firstColumn="1" w:firstRow="1" w:lastColumn="0" w:lastRow="0" w:noHBand="0" w:noVBand="1" w:val="04A0"/>
      </w:tblPr>
      <w:tblGrid>
        <w:gridCol w:w="2765"/>
        <w:gridCol w:w="3658"/>
        <w:gridCol w:w="3744"/>
      </w:tblGrid>
      <w:tr>
        <w:trPr>
          <w:tblHeader/>
          <w:cantSplit/>
        </w:trPr>
        <w:tc>
          <w:tcPr>
            <w:tcW w:type="dxa" w:w="276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Profile</w:t>
            </w:r>
          </w:p>
        </w:tc>
        <w:tc>
          <w:tcPr>
            <w:tcW w:type="dxa" w:w="365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Reported heal per bandage</w:t>
            </w:r>
          </w:p>
        </w:tc>
        <w:tc>
          <w:tcPr>
            <w:tcW w:type="dxa" w:w="374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Five-bandage arithmetic</w:t>
            </w:r>
          </w:p>
        </w:tc>
      </w:tr>
      <w:tr>
        <w:trPr>
          <w:cantSplit/>
        </w:trPr>
        <w:tc>
          <w:tcPr>
            <w:tcW w:type="dxa" w:w="2765"/>
            <w:vAlign w:val="center"/>
            <w:tcMar>
              <w:top w:w="70" w:type="dxa"/>
              <w:bottom w:w="70" w:type="dxa"/>
              <w:left w:w="95" w:type="dxa"/>
              <w:right w:w="95" w:type="dxa"/>
            </w:tcMar>
            <w:tcBorders>
              <w:bottom w:val="single" w:sz="3" w:color="D8E1E5"/>
            </w:tcBorders>
          </w:tcPr>
          <w:p>
            <w:pPr>
              <w:spacing w:after="0" w:before="0" w:line="245" w:lineRule="auto"/>
            </w:pPr>
            <w:r>
              <w:rPr>
                <w:b w:val="0"/>
                <w:sz w:val="20"/>
              </w:rPr>
              <w:t>Older hitpoint terminology</w:t>
            </w:r>
          </w:p>
        </w:tc>
        <w:tc>
          <w:tcPr>
            <w:tcW w:type="dxa" w:w="36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 HP [S12]</w:t>
            </w:r>
          </w:p>
        </w:tc>
        <w:tc>
          <w:tcPr>
            <w:tcW w:type="dxa" w:w="37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75 HP, before overhealing.</w:t>
            </w:r>
          </w:p>
        </w:tc>
      </w:tr>
      <w:tr>
        <w:trPr>
          <w:cantSplit/>
        </w:trPr>
        <w:tc>
          <w:tcPr>
            <w:tcW w:type="dxa" w:w="2765"/>
            <w:vAlign w:val="center"/>
            <w:tcMar>
              <w:top w:w="70" w:type="dxa"/>
              <w:bottom w:w="70" w:type="dxa"/>
              <w:left w:w="95" w:type="dxa"/>
              <w:right w:w="95" w:type="dxa"/>
            </w:tcMar>
            <w:tcBorders>
              <w:bottom w:val="single" w:sz="3" w:color="D8E1E5"/>
            </w:tcBorders>
          </w:tcPr>
          <w:p>
            <w:pPr>
              <w:spacing w:after="0" w:before="0" w:line="245" w:lineRule="auto"/>
            </w:pPr>
            <w:r>
              <w:rPr>
                <w:b w:val="0"/>
                <w:sz w:val="20"/>
              </w:rPr>
              <w:t>July 2012 documentary candidate</w:t>
            </w:r>
          </w:p>
        </w:tc>
        <w:tc>
          <w:tcPr>
            <w:tcW w:type="dxa" w:w="36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150 life points [S08, S10, S18]</w:t>
            </w:r>
          </w:p>
        </w:tc>
        <w:tc>
          <w:tcPr>
            <w:tcW w:type="dxa" w:w="37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750 life points, before overhealing.</w:t>
            </w:r>
          </w:p>
        </w:tc>
      </w:tr>
      <w:tr>
        <w:trPr>
          <w:cantSplit/>
        </w:trPr>
        <w:tc>
          <w:tcPr>
            <w:tcW w:type="dxa" w:w="2765"/>
            <w:vAlign w:val="center"/>
            <w:tcMar>
              <w:top w:w="70" w:type="dxa"/>
              <w:bottom w:w="70" w:type="dxa"/>
              <w:left w:w="95" w:type="dxa"/>
              <w:right w:w="95" w:type="dxa"/>
            </w:tcMar>
            <w:tcBorders>
              <w:bottom w:val="single" w:sz="3" w:color="D8E1E5"/>
            </w:tcBorders>
          </w:tcPr>
          <w:p>
            <w:pPr>
              <w:spacing w:after="0" w:before="0" w:line="245" w:lineRule="auto"/>
            </w:pPr>
            <w:r>
              <w:rPr>
                <w:b w:val="0"/>
                <w:sz w:val="20"/>
              </w:rPr>
              <w:t>Later wiki wording</w:t>
            </w:r>
          </w:p>
        </w:tc>
        <w:tc>
          <w:tcPr>
            <w:tcW w:type="dxa" w:w="36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 life points [S06]</w:t>
            </w:r>
          </w:p>
        </w:tc>
        <w:tc>
          <w:tcPr>
            <w:tcW w:type="dxa" w:w="37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75 percentage points only if all five use the same base; not proof of five fully effective heals.</w:t>
            </w:r>
          </w:p>
        </w:tc>
      </w:tr>
    </w:tbl>
    <w:p>
      <w:pPr>
        <w:spacing w:after="60" w:before="0" w:line="240" w:lineRule="auto"/>
      </w:pPr>
      <w:r>
        <w:rPr>
          <w:sz w:val="4"/>
        </w:rPr>
      </w:r>
    </w:p>
    <w:p>
      <w:r>
        <w:t>FoG bandages do not restore running energy. Flat 150 life points is the target-era documentary candidate; the supplied 2010 report instead asserts 15% of maximum health. These are different rules, not an automatic reconciliation. At a hypothetical maximum of 500, 15% gives 75, not 150. The percentage base, rounding and any special maximum-health interaction need direct evidence. [S18, S39 section 4.2; D]</w:t>
      </w:r>
    </w:p>
    <w:p>
      <w:bookmarkStart w:id="21" w:name="section_21"/>
      <w:pPr>
        <w:pStyle w:val="Heading2"/>
      </w:pPr>
      <w:r>
        <w:t>3.3 Stone properties</w:t>
      </w:r>
      <w:bookmarkEnd w:id="21"/>
    </w:p>
    <w:p>
      <w:r>
        <w:rPr>
          <w:b w:val="0"/>
        </w:rPr>
        <w:t xml:space="preserve">The legacy item entry reports a </w:t>
      </w:r>
      <w:r>
        <w:rPr>
          <w:b/>
        </w:rPr>
        <w:t>two-handed, 30 kg</w:t>
      </w:r>
      <w:r>
        <w:rPr>
          <w:b w:val="0"/>
        </w:rPr>
        <w:t xml:space="preserve"> stone. Holding it in inventory is insufficient: it must be equipped. Weapon and shield use conflict with the equipped stone; attack permission and equipment permission are distinct questions. The stone is not traded, banked or deposited to receive the score. [S14, S10]</w:t>
      </w:r>
    </w:p>
    <w:p>
      <w:bookmarkStart w:id="22" w:name="section_22"/>
      <w:pPr>
        <w:pStyle w:val="Heading2"/>
      </w:pPr>
      <w:r>
        <w:t>3.4 Rune substitution and finite spell budgets</w:t>
      </w:r>
      <w:bookmarkEnd w:id="22"/>
    </w:p>
    <w:p>
      <w:r>
        <w:t>Add every elemental rune unit required by a spell and every eligible non-elemental unit. One supplied rune is not the entire recipe. The legacy item reference includes the Armadyl rune among catalytic replacements; the older client-script list supplied by the friend stops at astral. Neither an older omission nor a later list proves the exact 727 substitution set. Reconcile the 727 spellbook display with server consumption and casting permissions. [S16, S17, S39 section 8.3]</w:t>
      </w:r>
    </w:p>
    <w:p>
      <w:pPr>
        <w:spacing w:before="60" w:after="160"/>
        <w:ind w:left="230"/>
      </w:pPr>
      <w:r>
        <w:rPr>
          <w:rFonts w:ascii="Consolas" w:hAnsi="Consolas"/>
          <w:b w:val="0"/>
          <w:sz w:val="20"/>
        </w:rPr>
        <w:t>E_remaining = 1000 - sum(elemental units actually consumed)</w:t>
        <w:br/>
        <w:t>K_remaining = 300 - sum(catalytic units actually consumed)</w:t>
      </w:r>
    </w:p>
    <w:p>
      <w:r>
        <w:rPr>
          <w:b w:val="0"/>
        </w:rPr>
        <w:t xml:space="preserve">Derived examples, with no staff substitution, saving effect or earlier spending: a hypothetical spell costing 7 elemental + 1 catalytic permits min(floor(1000/7), 300) = </w:t>
      </w:r>
      <w:r>
        <w:rPr>
          <w:b/>
        </w:rPr>
        <w:t>142 casts</w:t>
      </w:r>
      <w:r>
        <w:rPr>
          <w:b w:val="0"/>
        </w:rPr>
        <w:t xml:space="preserve">. A spell costing 6 elemental + 6 catalytic permits min(166, 50) = </w:t>
      </w:r>
      <w:r>
        <w:rPr>
          <w:b/>
        </w:rPr>
        <w:t>50 casts</w:t>
      </w:r>
      <w:r>
        <w:rPr>
          <w:b w:val="0"/>
        </w:rPr>
        <w:t>. These are accounting examples, not claims about a named spell's recipe.</w:t>
      </w:r>
    </w:p>
    <w:p>
      <w:r>
        <w:rPr>
          <w:b w:val="0"/>
        </w:rPr>
        <w:t>A staff that supplies a component would alter the relevant cost before this calculation, if its ordinary substitution operates in the chosen FoG era. Rune-saving procs may affect only a particular catalytic component; a 20% chance to supply that component is not automatically a 20% discount on the entire spell.</w:t>
      </w:r>
    </w:p>
    <w:p>
      <w:bookmarkStart w:id="23" w:name="section_23"/>
      <w:pPr>
        <w:pStyle w:val="Heading1"/>
      </w:pPr>
      <w:r>
        <w:t>4. Charging: values, timing and cap</w:t>
      </w:r>
      <w:bookmarkEnd w:id="23"/>
    </w:p>
    <w:p>
      <w:bookmarkStart w:id="24" w:name="section_24"/>
      <w:pPr>
        <w:pStyle w:val="Heading2"/>
      </w:pPr>
      <w:r>
        <w:t>4.1 Location observations</w:t>
      </w:r>
      <w:bookmarkEnd w:id="24"/>
    </w:p>
    <w:tbl>
      <w:tblPr>
        <w:tblW w:type="auto" w:w="0"/>
        <w:jc w:val="center"/>
        <w:tblLayout w:type="fixed"/>
        <w:tblLook w:firstColumn="1" w:firstRow="1" w:lastColumn="0" w:lastRow="0" w:noHBand="0" w:noVBand="1" w:val="04A0"/>
      </w:tblPr>
      <w:tblGrid>
        <w:gridCol w:w="4090"/>
        <w:gridCol w:w="1469"/>
        <w:gridCol w:w="4608"/>
      </w:tblGrid>
      <w:tr>
        <w:trPr>
          <w:tblHeader/>
          <w:cantSplit/>
        </w:trPr>
        <w:tc>
          <w:tcPr>
            <w:tcW w:type="dxa" w:w="409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Reported location</w:t>
            </w:r>
          </w:p>
        </w:tc>
        <w:tc>
          <w:tcPr>
            <w:tcW w:type="dxa" w:w="1469"/>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Charges / pulse</w:t>
            </w:r>
          </w:p>
        </w:tc>
        <w:tc>
          <w:tcPr>
            <w:tcW w:type="dxa" w:w="460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Status / provenance</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Outer perimeter</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endpoints corroborated by Sal's Realm and legacy stone entry.</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Between perimeter and green minimap terrain</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legacy stone entry; German guide also describes a low outer rate.</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Green-ground boundary</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legacy stone entry; Tip.It reports a 10-charge northern boundary line.</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Around the four houses</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B/C: legacy entry and Tip.It house-ring description.</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Near the centre</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21</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legacy stone entry only.</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At the centre</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28</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multiple guide descriptions.</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One tile from a specific northern 10-charge line</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C/X: Tip.It observation; not explained by the six-value sequence.</w:t>
            </w:r>
          </w:p>
        </w:tc>
      </w:tr>
      <w:tr>
        <w:trPr>
          <w:cantSplit/>
        </w:trPr>
        <w:tc>
          <w:tcPr>
            <w:tcW w:type="dxa" w:w="40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Inside a house</w:t>
            </w:r>
          </w:p>
        </w:tc>
        <w:tc>
          <w:tcPr>
            <w:tcW w:type="dxa" w:w="146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c>
          <w:tcPr>
            <w:tcW w:type="dxa" w:w="460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charge generation stops.</w:t>
            </w:r>
          </w:p>
        </w:tc>
      </w:tr>
    </w:tbl>
    <w:p>
      <w:pPr>
        <w:spacing w:after="60" w:before="0" w:line="240" w:lineRule="auto"/>
      </w:pPr>
      <w:r>
        <w:rPr>
          <w:sz w:val="4"/>
        </w:rPr>
      </w:r>
    </w:p>
    <w:p>
      <w:pPr>
        <w:pStyle w:val="Caption"/>
      </w:pPr>
      <w:r>
        <w:rPr>
          <w:b w:val="0"/>
        </w:rPr>
        <w:t>Spatial observations: [S07, S09, S11, S14]. House rule: [S08, S10]. Qualitative locations are not exact tile boundaries.</w:t>
      </w:r>
    </w:p>
    <w:p>
      <w:r>
        <w:rPr>
          <w:b w:val="0"/>
        </w:rPr>
        <w:t xml:space="preserve">The sequence </w:t>
      </w:r>
      <w:r>
        <w:rPr>
          <w:b/>
        </w:rPr>
        <w:t>3, 6, 10, 15, 21, 28</w:t>
      </w:r>
      <w:r>
        <w:rPr>
          <w:b w:val="0"/>
        </w:rPr>
        <w:t xml:space="preserve"> is numerically T2 through T7, where Tn = n(n+1)/2. That is an observed mathematical pattern, </w:t>
      </w:r>
      <w:r>
        <w:rPr>
          <w:b/>
        </w:rPr>
        <w:t>not a recovered distance-to-charge formula</w:t>
      </w:r>
      <w:r>
        <w:rPr>
          <w:b w:val="0"/>
        </w:rPr>
        <w:t>. The separately reported value 5 makes it especially unsafe to declare those six values exhaustive or to invent six perfectly circular rings.</w:t>
      </w:r>
    </w:p>
    <w:p>
      <w:r>
        <w:t>The supplied report adds candidate coordinates and an 84-by-89 floor-underlay transcription, but the tile-to-charge function remains unresolved. An underlay is terrain data, not a server scoring rule. Equal-distance tiles in that transcription have different underlays, and the centre includes several underlay types. Section 14.2 gives reproducible counterexamples; section 15 preserves the reported placements without declaring a recovered charge map. [S39 sections 2.4, 5.2 and 11; D]</w:t>
      </w:r>
    </w:p>
    <w:p>
      <w:bookmarkStart w:id="25" w:name="section_25"/>
      <w:pPr>
        <w:pStyle w:val="Heading2"/>
      </w:pPr>
      <w:r>
        <w:t>4.2 Discrete score model</w:t>
      </w:r>
      <w:bookmarkEnd w:id="25"/>
    </w:p>
    <w:p>
      <w:r>
        <w:rPr>
          <w:b w:val="0"/>
        </w:rPr>
        <w:t xml:space="preserve">Guides describe charge updates at approximately </w:t>
      </w:r>
      <w:r>
        <w:rPr>
          <w:b/>
        </w:rPr>
        <w:t>three-second intervals</w:t>
      </w:r>
      <w:r>
        <w:rPr>
          <w:b w:val="0"/>
        </w:rPr>
        <w:t>. A useful accounting model is: while hunted, equipped and outside a house, the next eligible pulse adds the value assigned to the current tile. Portal use subtracts its charge cost. The round ends at the documented 5,000 ceiling. [S07, S09, S14]</w:t>
      </w:r>
    </w:p>
    <w:p>
      <w:pPr>
        <w:spacing w:before="60" w:after="160"/>
        <w:ind w:left="230"/>
      </w:pPr>
      <w:r>
        <w:rPr>
          <w:rFonts w:ascii="Consolas" w:hAnsi="Consolas"/>
          <w:b w:val="0"/>
          <w:sz w:val="20"/>
        </w:rPr>
        <w:t>C_next = min(5000, C_current + r(tile))     [eligible scoring event]</w:t>
        <w:br/>
        <w:t>C_next = C_current - 20                  [eligible portal activation]</w:t>
      </w:r>
    </w:p>
    <w:p>
      <w:r>
        <w:rPr>
          <w:b w:val="0"/>
        </w:rPr>
        <w:t>The first equation is a reconstruction model, not extracted game code. In particular, hard clamping to exactly 5,000, the displayed value on an overshooting pulse, whether equip toggles reset the timer, and same-tick scoring/teleport order remain test cases. A 5,000 cap does not prove whether a final +28 internally computes 5,012 before the round closes.</w:t>
      </w:r>
    </w:p>
    <w:p>
      <w:bookmarkStart w:id="26" w:name="section_26"/>
      <w:pPr>
        <w:pStyle w:val="Heading2"/>
      </w:pPr>
      <w:r>
        <w:t>4.3 Rate table and ten-minute implications</w:t>
      </w:r>
      <w:bookmarkEnd w:id="26"/>
    </w:p>
    <w:tbl>
      <w:tblPr>
        <w:tblW w:type="auto" w:w="0"/>
        <w:jc w:val="center"/>
        <w:tblLayout w:type="fixed"/>
        <w:tblLook w:firstColumn="1" w:firstRow="1" w:lastColumn="0" w:lastRow="0" w:noHBand="0" w:noVBand="1" w:val="04A0"/>
      </w:tblPr>
      <w:tblGrid>
        <w:gridCol w:w="2189"/>
        <w:gridCol w:w="1930"/>
        <w:gridCol w:w="3053"/>
        <w:gridCol w:w="2995"/>
      </w:tblGrid>
      <w:tr>
        <w:trPr>
          <w:tblHeader/>
          <w:cantSplit/>
        </w:trPr>
        <w:tc>
          <w:tcPr>
            <w:tcW w:type="dxa" w:w="2189"/>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Charges / pulse</w:t>
            </w:r>
          </w:p>
        </w:tc>
        <w:tc>
          <w:tcPr>
            <w:tcW w:type="dxa" w:w="1930"/>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Per minute</w:t>
            </w:r>
          </w:p>
        </w:tc>
        <w:tc>
          <w:tcPr>
            <w:tcW w:type="dxa" w:w="3053"/>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200-pulse raw total</w:t>
            </w:r>
          </w:p>
        </w:tc>
        <w:tc>
          <w:tcPr>
            <w:tcW w:type="dxa" w:w="2995"/>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With 5,000 ceiling</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21</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420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4,200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4,200</w:t>
            </w:r>
          </w:p>
        </w:tc>
      </w:tr>
      <w:tr>
        <w:trPr>
          <w:cantSplit/>
        </w:trPr>
        <w:tc>
          <w:tcPr>
            <w:tcW w:type="dxa" w:w="2189"/>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28</w:t>
            </w:r>
          </w:p>
        </w:tc>
        <w:tc>
          <w:tcPr>
            <w:tcW w:type="dxa" w:w="193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560</w:t>
            </w:r>
          </w:p>
        </w:tc>
        <w:tc>
          <w:tcPr>
            <w:tcW w:type="dxa" w:w="3053"/>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5,600</w:t>
            </w:r>
          </w:p>
        </w:tc>
        <w:tc>
          <w:tcPr>
            <w:tcW w:type="dxa" w:w="2995"/>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5,000</w:t>
            </w:r>
          </w:p>
        </w:tc>
      </w:tr>
    </w:tbl>
    <w:p>
      <w:pPr>
        <w:spacing w:after="60" w:before="0" w:line="240" w:lineRule="auto"/>
      </w:pPr>
      <w:r>
        <w:rPr>
          <w:sz w:val="4"/>
        </w:rPr>
      </w:r>
    </w:p>
    <w:p>
      <w:pPr>
        <w:pStyle w:val="Caption"/>
      </w:pPr>
      <w:r>
        <w:rPr>
          <w:b w:val="0"/>
        </w:rPr>
        <w:t>D: assumes uninterrupted pulses every 3 seconds and exactly 200 completed pulses in 600 seconds. Endpoint ordering and initial phase may alter observed counts.</w:t>
      </w:r>
    </w:p>
    <w:p>
      <w:r>
        <w:rPr>
          <w:b w:val="0"/>
        </w:rPr>
        <w:t>Only the reported centre rate can reach 5,000 within this simple ten-minute model. At 21 per pulse, 200 pulses yield 4,200. Time spent in houses or unequipped is lost scoring opportunity, even when that time improves survival. A normal ten-minute round is a maximum, not a guaranteed ten minutes of eligible charging.</w:t>
      </w:r>
    </w:p>
    <w:p>
      <w:bookmarkStart w:id="27" w:name="section_27"/>
      <w:pPr>
        <w:pStyle w:val="Heading2"/>
      </w:pPr>
      <w:r>
        <w:t>4.4 Centre milestones</w:t>
      </w:r>
      <w:bookmarkEnd w:id="27"/>
    </w:p>
    <w:tbl>
      <w:tblPr>
        <w:tblW w:type="auto" w:w="0"/>
        <w:jc w:val="center"/>
        <w:tblLayout w:type="fixed"/>
        <w:tblLook w:firstColumn="1" w:firstRow="1" w:lastColumn="0" w:lastRow="0" w:noHBand="0" w:noVBand="1" w:val="04A0"/>
      </w:tblPr>
      <w:tblGrid>
        <w:gridCol w:w="1642"/>
        <w:gridCol w:w="2376"/>
        <w:gridCol w:w="2592"/>
        <w:gridCol w:w="3557"/>
      </w:tblGrid>
      <w:tr>
        <w:trPr>
          <w:tblHeader/>
          <w:cantSplit/>
        </w:trPr>
        <w:tc>
          <w:tcPr>
            <w:tcW w:type="dxa" w:w="1642"/>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Target</w:t>
            </w:r>
          </w:p>
        </w:tc>
        <w:tc>
          <w:tcPr>
            <w:tcW w:type="dxa" w:w="2376"/>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Required +28 pulses</w:t>
            </w:r>
          </w:p>
        </w:tc>
        <w:tc>
          <w:tcPr>
            <w:tcW w:type="dxa" w:w="2592"/>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Pulse total before cap</w:t>
            </w:r>
          </w:p>
        </w:tc>
        <w:tc>
          <w:tcPr>
            <w:tcW w:type="dxa" w:w="355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Time if first pulse at t=3 s</w:t>
            </w:r>
          </w:p>
        </w:tc>
      </w:tr>
      <w:tr>
        <w:trPr>
          <w:cantSplit/>
        </w:trPr>
        <w:tc>
          <w:tcPr>
            <w:tcW w:type="dxa" w:w="164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1,000</w:t>
            </w:r>
          </w:p>
        </w:tc>
        <w:tc>
          <w:tcPr>
            <w:tcW w:type="dxa" w:w="237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36</w:t>
            </w:r>
          </w:p>
        </w:tc>
        <w:tc>
          <w:tcPr>
            <w:tcW w:type="dxa" w:w="259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1,008</w:t>
            </w:r>
          </w:p>
        </w:tc>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108 s = 1:48</w:t>
            </w:r>
          </w:p>
        </w:tc>
      </w:tr>
      <w:tr>
        <w:trPr>
          <w:cantSplit/>
        </w:trPr>
        <w:tc>
          <w:tcPr>
            <w:tcW w:type="dxa" w:w="164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2,000</w:t>
            </w:r>
          </w:p>
        </w:tc>
        <w:tc>
          <w:tcPr>
            <w:tcW w:type="dxa" w:w="237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72</w:t>
            </w:r>
          </w:p>
        </w:tc>
        <w:tc>
          <w:tcPr>
            <w:tcW w:type="dxa" w:w="259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2,016</w:t>
            </w:r>
          </w:p>
        </w:tc>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216 s = 3:36</w:t>
            </w:r>
          </w:p>
        </w:tc>
      </w:tr>
      <w:tr>
        <w:trPr>
          <w:cantSplit/>
        </w:trPr>
        <w:tc>
          <w:tcPr>
            <w:tcW w:type="dxa" w:w="164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3,000</w:t>
            </w:r>
          </w:p>
        </w:tc>
        <w:tc>
          <w:tcPr>
            <w:tcW w:type="dxa" w:w="237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108</w:t>
            </w:r>
          </w:p>
        </w:tc>
        <w:tc>
          <w:tcPr>
            <w:tcW w:type="dxa" w:w="259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3,024</w:t>
            </w:r>
          </w:p>
        </w:tc>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324 s = 5:24</w:t>
            </w:r>
          </w:p>
        </w:tc>
      </w:tr>
      <w:tr>
        <w:trPr>
          <w:cantSplit/>
        </w:trPr>
        <w:tc>
          <w:tcPr>
            <w:tcW w:type="dxa" w:w="164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4,000</w:t>
            </w:r>
          </w:p>
        </w:tc>
        <w:tc>
          <w:tcPr>
            <w:tcW w:type="dxa" w:w="237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143</w:t>
            </w:r>
          </w:p>
        </w:tc>
        <w:tc>
          <w:tcPr>
            <w:tcW w:type="dxa" w:w="259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4,004</w:t>
            </w:r>
          </w:p>
        </w:tc>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429 s = 7:09</w:t>
            </w:r>
          </w:p>
        </w:tc>
      </w:tr>
      <w:tr>
        <w:trPr>
          <w:cantSplit/>
        </w:trPr>
        <w:tc>
          <w:tcPr>
            <w:tcW w:type="dxa" w:w="164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5,000</w:t>
            </w:r>
          </w:p>
        </w:tc>
        <w:tc>
          <w:tcPr>
            <w:tcW w:type="dxa" w:w="237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179</w:t>
            </w:r>
          </w:p>
        </w:tc>
        <w:tc>
          <w:tcPr>
            <w:tcW w:type="dxa" w:w="259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5,012</w:t>
            </w:r>
          </w:p>
        </w:tc>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537 s = 8:57</w:t>
            </w:r>
          </w:p>
        </w:tc>
      </w:tr>
    </w:tbl>
    <w:p>
      <w:pPr>
        <w:spacing w:after="60" w:before="0" w:line="240" w:lineRule="auto"/>
      </w:pPr>
      <w:r>
        <w:rPr>
          <w:sz w:val="4"/>
        </w:rPr>
      </w:r>
    </w:p>
    <w:p>
      <w:r>
        <w:rPr>
          <w:b w:val="0"/>
        </w:rPr>
        <w:t xml:space="preserve">D: ceil(5000/28) = 179; 178 pulses yield 4,984. The interval from the first through the 179th pulse is 178 x 3 = </w:t>
      </w:r>
      <w:r>
        <w:rPr>
          <w:b/>
        </w:rPr>
        <w:t>534 seconds</w:t>
      </w:r>
      <w:r>
        <w:rPr>
          <w:b w:val="0"/>
        </w:rPr>
        <w:t xml:space="preserve">. If the first pulse arrives between zero and three seconds after eligibility begins, the corresponding elapsed time is roughly </w:t>
      </w:r>
      <w:r>
        <w:rPr>
          <w:b/>
        </w:rPr>
        <w:t>534-537 seconds</w:t>
      </w:r>
      <w:r>
        <w:rPr>
          <w:b w:val="0"/>
        </w:rPr>
        <w:t>, before interruptions. These are derived timing bounds, not a recorded fastest run.</w:t>
      </w:r>
    </w:p>
    <w:p>
      <w:r>
        <w:rPr>
          <w:b w:val="0"/>
        </w:rPr>
        <w:t xml:space="preserve">D: with exactly 200 eligible pulses split between rates 15 and 28, total charges are 3,000 + 13n, where n is the number of centre pulses. Reaching 5,000 requires n &gt;= </w:t>
      </w:r>
      <w:r>
        <w:rPr>
          <w:b/>
        </w:rPr>
        <w:t>154</w:t>
      </w:r>
      <w:r>
        <w:rPr>
          <w:b w:val="0"/>
        </w:rPr>
        <w:t>, assuming no portal spending. This illustrates how even apparently brief low-rate movement changes the attainable total.</w:t>
      </w:r>
    </w:p>
    <w:p>
      <w:bookmarkStart w:id="28" w:name="section_28"/>
      <w:pPr>
        <w:pStyle w:val="Heading1"/>
      </w:pPr>
      <w:r>
        <w:t>5. Damage, stat weakening and running energy</w:t>
      </w:r>
      <w:bookmarkEnd w:id="28"/>
    </w:p>
    <w:p>
      <w:bookmarkStart w:id="29" w:name="section_29"/>
      <w:pPr>
        <w:pStyle w:val="Heading2"/>
      </w:pPr>
      <w:r>
        <w:t>5.1 Keep four mechanisms separate</w:t>
      </w:r>
      <w:bookmarkEnd w:id="29"/>
    </w:p>
    <w:tbl>
      <w:tblPr>
        <w:tblW w:type="auto" w:w="0"/>
        <w:jc w:val="center"/>
        <w:tblLayout w:type="fixed"/>
        <w:tblLook w:firstColumn="1" w:firstRow="1" w:lastColumn="0" w:lastRow="0" w:noHBand="0" w:noVBand="1" w:val="04A0"/>
      </w:tblPr>
      <w:tblGrid>
        <w:gridCol w:w="2232"/>
        <w:gridCol w:w="3960"/>
        <w:gridCol w:w="3974"/>
      </w:tblGrid>
      <w:tr>
        <w:trPr>
          <w:tblHeader/>
          <w:cantSplit/>
        </w:trPr>
        <w:tc>
          <w:tcPr>
            <w:tcW w:type="dxa" w:w="223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Mechanism</w:t>
            </w:r>
          </w:p>
        </w:tc>
        <w:tc>
          <w:tcPr>
            <w:tcW w:type="dxa" w:w="396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Established description</w:t>
            </w:r>
          </w:p>
        </w:tc>
        <w:tc>
          <w:tcPr>
            <w:tcW w:type="dxa" w:w="397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Numerical status</w:t>
            </w:r>
          </w:p>
        </w:tc>
      </w:tr>
      <w:tr>
        <w:trPr>
          <w:cantSplit/>
        </w:trPr>
        <w:tc>
          <w:tcPr>
            <w:tcW w:type="dxa" w:w="2232"/>
            <w:vAlign w:val="center"/>
            <w:tcMar>
              <w:top w:w="70" w:type="dxa"/>
              <w:bottom w:w="70" w:type="dxa"/>
              <w:left w:w="95" w:type="dxa"/>
              <w:right w:w="95" w:type="dxa"/>
            </w:tcMar>
            <w:tcBorders>
              <w:bottom w:val="single" w:sz="3" w:color="D8E1E5"/>
            </w:tcBorders>
          </w:tcPr>
          <w:p>
            <w:pPr>
              <w:spacing w:after="0" w:before="0" w:line="245" w:lineRule="auto"/>
            </w:pPr>
            <w:r>
              <w:rPr>
                <w:b w:val="0"/>
                <w:sz w:val="20"/>
              </w:rPr>
              <w:t>Opponent damage</w:t>
            </w:r>
          </w:p>
        </w:tc>
        <w:tc>
          <w:tcPr>
            <w:tcW w:type="dxa" w:w="3960"/>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Hunter attacks the hunted; the hunted may retaliate under version-specific rules.</w:t>
            </w:r>
          </w:p>
        </w:tc>
        <w:tc>
          <w:tcPr>
            <w:tcW w:type="dxa" w:w="39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Uses the era's combat system plus FoG restrictions.</w:t>
            </w:r>
          </w:p>
        </w:tc>
      </w:tr>
      <w:tr>
        <w:trPr>
          <w:cantSplit/>
        </w:trPr>
        <w:tc>
          <w:tcPr>
            <w:tcW w:type="dxa" w:w="2232"/>
            <w:vAlign w:val="center"/>
            <w:tcMar>
              <w:top w:w="70" w:type="dxa"/>
              <w:bottom w:w="70" w:type="dxa"/>
              <w:left w:w="95" w:type="dxa"/>
              <w:right w:w="95" w:type="dxa"/>
            </w:tcMar>
            <w:tcBorders>
              <w:bottom w:val="single" w:sz="3" w:color="D8E1E5"/>
            </w:tcBorders>
          </w:tcPr>
          <w:p>
            <w:pPr>
              <w:spacing w:after="0" w:before="0" w:line="245" w:lineRule="auto"/>
            </w:pPr>
            <w:r>
              <w:rPr>
                <w:b w:val="0"/>
                <w:sz w:val="20"/>
              </w:rPr>
              <w:t>Stone / ambient damage</w:t>
            </w:r>
          </w:p>
        </w:tc>
        <w:tc>
          <w:tcPr>
            <w:tcW w:type="dxa" w:w="3960"/>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Charging exposes the hunted to damaging energy.</w:t>
            </w:r>
          </w:p>
        </w:tc>
        <w:tc>
          <w:tcPr>
            <w:tcW w:type="dxa" w:w="39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One legacy entry gives an 18-second candidate rule.</w:t>
            </w:r>
          </w:p>
        </w:tc>
      </w:tr>
      <w:tr>
        <w:trPr>
          <w:cantSplit/>
        </w:trPr>
        <w:tc>
          <w:tcPr>
            <w:tcW w:type="dxa" w:w="2232"/>
            <w:vAlign w:val="center"/>
            <w:tcMar>
              <w:top w:w="70" w:type="dxa"/>
              <w:bottom w:w="70" w:type="dxa"/>
              <w:left w:w="95" w:type="dxa"/>
              <w:right w:w="95" w:type="dxa"/>
            </w:tcMar>
            <w:tcBorders>
              <w:bottom w:val="single" w:sz="3" w:color="D8E1E5"/>
            </w:tcBorders>
          </w:tcPr>
          <w:p>
            <w:pPr>
              <w:spacing w:after="0" w:before="0" w:line="245" w:lineRule="auto"/>
            </w:pPr>
            <w:r>
              <w:rPr>
                <w:b w:val="0"/>
                <w:sz w:val="20"/>
              </w:rPr>
              <w:t>House entry and occupancy</w:t>
            </w:r>
          </w:p>
        </w:tc>
        <w:tc>
          <w:tcPr>
            <w:tcW w:type="dxa" w:w="3960"/>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Concealment costs health as well as charge opportunities.</w:t>
            </w:r>
          </w:p>
        </w:tc>
        <w:tc>
          <w:tcPr>
            <w:tcW w:type="dxa" w:w="39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Flat and percentage descriptions conflict by source/era.</w:t>
            </w:r>
          </w:p>
        </w:tc>
      </w:tr>
      <w:tr>
        <w:trPr>
          <w:cantSplit/>
        </w:trPr>
        <w:tc>
          <w:tcPr>
            <w:tcW w:type="dxa" w:w="2232"/>
            <w:vAlign w:val="center"/>
            <w:tcMar>
              <w:top w:w="70" w:type="dxa"/>
              <w:bottom w:w="70" w:type="dxa"/>
              <w:left w:w="95" w:type="dxa"/>
              <w:right w:w="95" w:type="dxa"/>
            </w:tcMar>
            <w:tcBorders>
              <w:bottom w:val="single" w:sz="3" w:color="D8E1E5"/>
            </w:tcBorders>
          </w:tcPr>
          <w:p>
            <w:pPr>
              <w:spacing w:after="0" w:before="0" w:line="245" w:lineRule="auto"/>
            </w:pPr>
            <w:r>
              <w:rPr>
                <w:b w:val="0"/>
                <w:sz w:val="20"/>
              </w:rPr>
              <w:t>Statistic drain</w:t>
            </w:r>
          </w:p>
        </w:tc>
        <w:tc>
          <w:tcPr>
            <w:tcW w:type="dxa" w:w="3960"/>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Hunted combat statistics weaken, more severely nearer the centre.</w:t>
            </w:r>
          </w:p>
        </w:tc>
        <w:tc>
          <w:tcPr>
            <w:tcW w:type="dxa" w:w="39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exact per-skill, per-pulse or distance formula recovered.</w:t>
            </w:r>
          </w:p>
        </w:tc>
      </w:tr>
    </w:tbl>
    <w:p>
      <w:pPr>
        <w:spacing w:after="60" w:before="0" w:line="240" w:lineRule="auto"/>
      </w:pPr>
      <w:r>
        <w:rPr>
          <w:sz w:val="4"/>
        </w:rPr>
      </w:r>
    </w:p>
    <w:p>
      <w:pPr>
        <w:pStyle w:val="Caption"/>
      </w:pPr>
      <w:r>
        <w:rPr>
          <w:b w:val="0"/>
        </w:rPr>
        <w:t>Mechanism descriptions: [S06, S08, S10, S13, S14]. They must not be collapsed into a single damage-over-time effect.</w:t>
      </w:r>
    </w:p>
    <w:p>
      <w:bookmarkStart w:id="30" w:name="section_30"/>
      <w:pPr>
        <w:pStyle w:val="Heading2"/>
      </w:pPr>
      <w:r>
        <w:t>5.2 The 18-second legacy candidate</w:t>
      </w:r>
      <w:bookmarkEnd w:id="30"/>
    </w:p>
    <w:p>
      <w:r>
        <w:rPr>
          <w:b w:val="0"/>
        </w:rPr>
        <w:t xml:space="preserve">One legacy stone entry says damage occurs every six charge events, explicitly equating that interval to </w:t>
      </w:r>
      <w:r>
        <w:rPr>
          <w:b/>
        </w:rPr>
        <w:t>18 seconds</w:t>
      </w:r>
      <w:r>
        <w:rPr>
          <w:b w:val="0"/>
        </w:rPr>
        <w:t xml:space="preserve">: </w:t>
      </w:r>
      <w:r>
        <w:rPr>
          <w:b/>
        </w:rPr>
        <w:t>10 life points</w:t>
      </w:r>
      <w:r>
        <w:rPr>
          <w:b w:val="0"/>
        </w:rPr>
        <w:t xml:space="preserve"> when the last charge increment is at most 15, </w:t>
      </w:r>
      <w:r>
        <w:rPr>
          <w:b/>
        </w:rPr>
        <w:t>20</w:t>
      </w:r>
      <w:r>
        <w:rPr>
          <w:b w:val="0"/>
        </w:rPr>
        <w:t xml:space="preserve"> when it is above 15. Its wording "six charges" must mean six events in that sentence, not six score units. This is </w:t>
      </w:r>
      <w:r>
        <w:rPr>
          <w:b/>
        </w:rPr>
        <w:t>C evidence on a private-server-hosted legacy wiki</w:t>
      </w:r>
      <w:r>
        <w:rPr>
          <w:b w:val="0"/>
        </w:rPr>
        <w:t>, not an authenticated production formula. [S14]</w:t>
      </w:r>
    </w:p>
    <w:p>
      <w:pPr>
        <w:spacing w:before="60" w:after="160"/>
        <w:ind w:left="230"/>
      </w:pPr>
      <w:r>
        <w:rPr>
          <w:rFonts w:ascii="Consolas" w:hAnsi="Consolas"/>
          <w:b w:val="0"/>
          <w:sz w:val="20"/>
        </w:rPr>
        <w:t>candidate_damage = 10 if last_increment &lt;= 15 else 20</w:t>
        <w:br/>
        <w:t>candidate_interval = 6 scoring events = 18 seconds</w:t>
      </w:r>
    </w:p>
    <w:p>
      <w:r>
        <w:rPr>
          <w:b w:val="0"/>
        </w:rPr>
        <w:t xml:space="preserve">D, conditional on that candidate: low-rate damage averages 10/18 = </w:t>
      </w:r>
      <w:r>
        <w:rPr>
          <w:b/>
        </w:rPr>
        <w:t>0.556 LP/s</w:t>
      </w:r>
      <w:r>
        <w:rPr>
          <w:b w:val="0"/>
        </w:rPr>
        <w:t xml:space="preserve">; high-rate damage averages 20/18 = </w:t>
      </w:r>
      <w:r>
        <w:rPr>
          <w:b/>
        </w:rPr>
        <w:t>1.111 LP/s</w:t>
      </w:r>
      <w:r>
        <w:rPr>
          <w:b w:val="0"/>
        </w:rPr>
        <w:t xml:space="preserve">. If the first damage occurs on event 6, 200 events contain 33 damage events: </w:t>
      </w:r>
      <w:r>
        <w:rPr>
          <w:b/>
        </w:rPr>
        <w:t>330 or 660 LP</w:t>
      </w:r>
      <w:r>
        <w:rPr>
          <w:b w:val="0"/>
        </w:rPr>
        <w:t xml:space="preserve">. Reaching the centre cap in 179 events contains 29 such events, or </w:t>
      </w:r>
      <w:r>
        <w:rPr>
          <w:b/>
        </w:rPr>
        <w:t>580 LP</w:t>
      </w:r>
      <w:r>
        <w:rPr>
          <w:b w:val="0"/>
        </w:rPr>
        <w:t>. These totals exclude attacks, houses, healing, and any different initial counter phase.</w:t>
      </w:r>
    </w:p>
    <w:p>
      <w:r>
        <w:rPr>
          <w:b w:val="0"/>
        </w:rPr>
        <w:t>The model still needs the counter reset rule, whether non-scoring time advances it, whether entering a house adds or replaces ambient damage, and when the "last increment" is sampled. Do not multiply these life-point values into a later era without supporting evidence. The document preserves the candidate because it is unusually specific, not because its specificity makes it reliable.</w:t>
      </w:r>
    </w:p>
    <w:p>
      <w:pPr/>
      <w:r>
        <w:t>Comparison added: the supplied report asserts 2% of maximum health in outer regions and 5% in the two inner regions on the same 18-second cadence. This conflicts with the flat 10/20-life-point legacy entry. At maximum health 990, the percentage values would be 19.8 and 49.5 before rounding, not 10 and 20. Neither profile is promoted to a verified 727 rule. [S14, S39 section 5.3; D]</w:t>
      </w:r>
    </w:p>
    <w:p>
      <w:bookmarkStart w:id="31" w:name="section_31"/>
      <w:pPr>
        <w:pStyle w:val="Heading2"/>
      </w:pPr>
      <w:r>
        <w:t>5.3 House damage: incompatible descriptions</w:t>
      </w:r>
      <w:bookmarkEnd w:id="31"/>
    </w:p>
    <w:tbl>
      <w:tblPr>
        <w:tblW w:type="auto" w:w="0"/>
        <w:jc w:val="center"/>
        <w:tblLayout w:type="fixed"/>
        <w:tblLook w:firstColumn="1" w:firstRow="1" w:lastColumn="0" w:lastRow="0" w:noHBand="0" w:noVBand="1" w:val="04A0"/>
      </w:tblPr>
      <w:tblGrid>
        <w:gridCol w:w="2707"/>
        <w:gridCol w:w="3758"/>
        <w:gridCol w:w="3701"/>
      </w:tblGrid>
      <w:tr>
        <w:trPr>
          <w:tblHeader/>
          <w:cantSplit/>
        </w:trPr>
        <w:tc>
          <w:tcPr>
            <w:tcW w:type="dxa" w:w="270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Source / profile</w:t>
            </w:r>
          </w:p>
        </w:tc>
        <w:tc>
          <w:tcPr>
            <w:tcW w:type="dxa" w:w="375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Reported health cost</w:t>
            </w:r>
          </w:p>
        </w:tc>
        <w:tc>
          <w:tcPr>
            <w:tcW w:type="dxa" w:w="3701"/>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Interpretation limit</w:t>
            </w:r>
          </w:p>
        </w:tc>
      </w:tr>
      <w:tr>
        <w:trPr>
          <w:cantSplit/>
        </w:trPr>
        <w:tc>
          <w:tcPr>
            <w:tcW w:type="dxa" w:w="2707"/>
            <w:vAlign w:val="center"/>
            <w:tcMar>
              <w:top w:w="70" w:type="dxa"/>
              <w:bottom w:w="70" w:type="dxa"/>
              <w:left w:w="95" w:type="dxa"/>
              <w:right w:w="95" w:type="dxa"/>
            </w:tcMar>
            <w:tcBorders>
              <w:bottom w:val="single" w:sz="3" w:color="D8E1E5"/>
            </w:tcBorders>
          </w:tcPr>
          <w:p>
            <w:pPr>
              <w:spacing w:after="0" w:before="0" w:line="245" w:lineRule="auto"/>
            </w:pPr>
            <w:r>
              <w:rPr>
                <w:b w:val="0"/>
                <w:sz w:val="20"/>
              </w:rPr>
              <w:t>Later RuneScape Wiki</w:t>
            </w:r>
          </w:p>
        </w:tc>
        <w:tc>
          <w:tcPr>
            <w:tcW w:type="dxa" w:w="37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 on entering; further damage every 5 seconds.</w:t>
            </w:r>
          </w:p>
        </w:tc>
        <w:tc>
          <w:tcPr>
            <w:tcW w:type="dxa" w:w="3701"/>
            <w:vAlign w:val="center"/>
            <w:tcMar>
              <w:top w:w="70" w:type="dxa"/>
              <w:bottom w:w="70" w:type="dxa"/>
              <w:left w:w="95" w:type="dxa"/>
              <w:right w:w="95" w:type="dxa"/>
            </w:tcMar>
            <w:tcBorders>
              <w:bottom w:val="single" w:sz="3" w:color="D8E1E5"/>
            </w:tcBorders>
          </w:tcPr>
          <w:p>
            <w:pPr>
              <w:spacing w:after="0" w:before="0" w:line="245" w:lineRule="auto"/>
            </w:pPr>
            <w:r>
              <w:rPr>
                <w:b w:val="0"/>
                <w:sz w:val="20"/>
              </w:rPr>
              <w:t>Percentage base and recurring amount are not established here.</w:t>
            </w:r>
          </w:p>
        </w:tc>
      </w:tr>
      <w:tr>
        <w:trPr>
          <w:cantSplit/>
        </w:trPr>
        <w:tc>
          <w:tcPr>
            <w:tcW w:type="dxa" w:w="2707"/>
            <w:vAlign w:val="center"/>
            <w:tcMar>
              <w:top w:w="70" w:type="dxa"/>
              <w:bottom w:w="70" w:type="dxa"/>
              <w:left w:w="95" w:type="dxa"/>
              <w:right w:w="95" w:type="dxa"/>
            </w:tcMar>
            <w:tcBorders>
              <w:bottom w:val="single" w:sz="3" w:color="D8E1E5"/>
            </w:tcBorders>
          </w:tcPr>
          <w:p>
            <w:pPr>
              <w:spacing w:after="0" w:before="0" w:line="245" w:lineRule="auto"/>
            </w:pPr>
            <w:r>
              <w:rPr>
                <w:b w:val="0"/>
                <w:sz w:val="20"/>
              </w:rPr>
              <w:t>Legacy Darkan main page</w:t>
            </w:r>
          </w:p>
        </w:tc>
        <w:tc>
          <w:tcPr>
            <w:tcW w:type="dxa" w:w="37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30 LP every 5 seconds; another passage uses 30-40 damage.</w:t>
            </w:r>
          </w:p>
        </w:tc>
        <w:tc>
          <w:tcPr>
            <w:tcW w:type="dxa" w:w="3701"/>
            <w:vAlign w:val="center"/>
            <w:tcMar>
              <w:top w:w="70" w:type="dxa"/>
              <w:bottom w:w="70" w:type="dxa"/>
              <w:left w:w="95" w:type="dxa"/>
              <w:right w:w="95" w:type="dxa"/>
            </w:tcMar>
            <w:tcBorders>
              <w:bottom w:val="single" w:sz="3" w:color="D8E1E5"/>
            </w:tcBorders>
          </w:tcPr>
          <w:p>
            <w:pPr>
              <w:spacing w:after="0" w:before="0" w:line="245" w:lineRule="auto"/>
            </w:pPr>
            <w:r>
              <w:rPr>
                <w:b w:val="0"/>
                <w:sz w:val="20"/>
              </w:rPr>
              <w:t>Internally mixed descriptions; not an exact universal constant.</w:t>
            </w:r>
          </w:p>
        </w:tc>
      </w:tr>
      <w:tr>
        <w:trPr>
          <w:cantSplit/>
        </w:trPr>
        <w:tc>
          <w:tcPr>
            <w:tcW w:type="dxa" w:w="2707"/>
            <w:vAlign w:val="center"/>
            <w:tcMar>
              <w:top w:w="70" w:type="dxa"/>
              <w:bottom w:w="70" w:type="dxa"/>
              <w:left w:w="95" w:type="dxa"/>
              <w:right w:w="95" w:type="dxa"/>
            </w:tcMar>
            <w:tcBorders>
              <w:bottom w:val="single" w:sz="3" w:color="D8E1E5"/>
            </w:tcBorders>
          </w:tcPr>
          <w:p>
            <w:pPr>
              <w:spacing w:after="0" w:before="0" w:line="245" w:lineRule="auto"/>
            </w:pPr>
            <w:r>
              <w:rPr>
                <w:b w:val="0"/>
                <w:sz w:val="20"/>
              </w:rPr>
              <w:t>Tip.It guide</w:t>
            </w:r>
          </w:p>
        </w:tc>
        <w:tc>
          <w:tcPr>
            <w:tcW w:type="dxa" w:w="37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Approximately 10 LP per second while inside.</w:t>
            </w:r>
          </w:p>
        </w:tc>
        <w:tc>
          <w:tcPr>
            <w:tcW w:type="dxa" w:w="3701"/>
            <w:vAlign w:val="center"/>
            <w:tcMar>
              <w:top w:w="70" w:type="dxa"/>
              <w:bottom w:w="70" w:type="dxa"/>
              <w:left w:w="95" w:type="dxa"/>
              <w:right w:w="95" w:type="dxa"/>
            </w:tcMar>
            <w:tcBorders>
              <w:bottom w:val="single" w:sz="3" w:color="D8E1E5"/>
            </w:tcBorders>
          </w:tcPr>
          <w:p>
            <w:pPr>
              <w:spacing w:after="0" w:before="0" w:line="245" w:lineRule="auto"/>
            </w:pPr>
            <w:r>
              <w:rPr>
                <w:b w:val="0"/>
                <w:sz w:val="20"/>
              </w:rPr>
              <w:t>An average-style statement is not a measured tick schedule.</w:t>
            </w:r>
          </w:p>
        </w:tc>
      </w:tr>
    </w:tbl>
    <w:p>
      <w:pPr>
        <w:spacing w:after="60" w:before="0" w:line="240" w:lineRule="auto"/>
      </w:pPr>
      <w:r>
        <w:rPr>
          <w:sz w:val="4"/>
        </w:rPr>
      </w:r>
    </w:p>
    <w:p>
      <w:pPr>
        <w:pStyle w:val="Caption"/>
      </w:pPr>
      <w:r>
        <w:rPr>
          <w:b w:val="0"/>
        </w:rPr>
        <w:t>X: [S06, S07, S13]. Separate house entry tax from occupancy damage and stone damage.</w:t>
      </w:r>
    </w:p>
    <w:p>
      <w:r>
        <w:rPr>
          <w:b w:val="0"/>
        </w:rPr>
        <w:t>The statements "10 per second" and "every five seconds" do not license an invented 50-damage hit. Nor does one percentage entry cost establish percentage-based recurring damage. A recreation should expose these as versioned parameters, not average the reports together.</w:t>
      </w:r>
    </w:p>
    <w:p>
      <w:bookmarkStart w:id="32" w:name="section_32"/>
      <w:pPr>
        <w:pStyle w:val="Heading2"/>
      </w:pPr>
      <w:r>
        <w:t>5.4 Drain and recovery</w:t>
      </w:r>
      <w:bookmarkEnd w:id="32"/>
    </w:p>
    <w:p>
      <w:r>
        <w:rPr>
          <w:b w:val="0"/>
        </w:rPr>
        <w:t xml:space="preserve">Historical manual wording describes stronger stat weakening nearer the centre, including reduced effectiveness of a hunted player's familiar. Tip.It describes faster running-energy recovery at the centre, approximately </w:t>
      </w:r>
      <w:r>
        <w:rPr>
          <w:b/>
        </w:rPr>
        <w:t>three times normal</w:t>
      </w:r>
      <w:r>
        <w:rPr>
          <w:b w:val="0"/>
        </w:rPr>
        <w:t>. Exact recovery radius, tick amount, stat floors and drain intervals are unverified. [S07, S10]</w:t>
      </w:r>
    </w:p>
    <w:p>
      <w:r>
        <w:rPr>
          <w:b w:val="0"/>
        </w:rPr>
        <w:t>The 30 kg stone is therefore relevant to mobility, but it does not provide enough information to derive a FoG-specific run-energy equation. Assertions such as a hunter having more than 90% hit chance in a tactical guide are not a measured accuracy function and should not become a hard-coded success roll.</w:t>
      </w:r>
    </w:p>
    <w:p>
      <w:bookmarkStart w:id="33" w:name="section_33"/>
      <w:pPr>
        <w:pStyle w:val="Heading1"/>
      </w:pPr>
      <w:r>
        <w:t>6. Houses, portals and the tele-orb</w:t>
      </w:r>
      <w:bookmarkEnd w:id="33"/>
    </w:p>
    <w:p>
      <w:bookmarkStart w:id="34" w:name="section_34"/>
      <w:pPr>
        <w:pStyle w:val="Heading2"/>
      </w:pPr>
      <w:r>
        <w:t>6.1 House state</w:t>
      </w:r>
      <w:bookmarkEnd w:id="34"/>
    </w:p>
    <w:p>
      <w:r>
        <w:t>Four houses conceal the hunted from the hunter, prevent ordinary targeting and yield zero charges. They impose health costs and a reported 20-second re-entry restriction after exit. The hunted can observe the hunter. A later patch explicitly permits house entry with a summoned familiar; that relaxation must not be assumed for 727 without target evidence. [S07, S08, S10; S02 exclusion]</w:t>
      </w:r>
    </w:p>
    <w:p>
      <w:r>
        <w:rPr>
          <w:b w:val="0"/>
        </w:rPr>
        <w:t>Twenty seconds is not a maximum permitted stay. Concealment is not invulnerability: environmental damage continues. Hiding in a crowd is not the same state as house invisibility; crowding can make selection difficult without changing targetability rules.</w:t>
      </w:r>
    </w:p>
    <w:p>
      <w:bookmarkStart w:id="35" w:name="section_35"/>
      <w:pPr>
        <w:pStyle w:val="Heading2"/>
      </w:pPr>
      <w:r>
        <w:t>6.2 Portal transaction</w:t>
      </w:r>
      <w:bookmarkEnd w:id="35"/>
    </w:p>
    <w:tbl>
      <w:tblPr>
        <w:tblW w:type="auto" w:w="0"/>
        <w:jc w:val="center"/>
        <w:tblLayout w:type="fixed"/>
        <w:tblLook w:firstColumn="1" w:firstRow="1" w:lastColumn="0" w:lastRow="0" w:noHBand="0" w:noVBand="1" w:val="04A0"/>
      </w:tblPr>
      <w:tblGrid>
        <w:gridCol w:w="2347"/>
        <w:gridCol w:w="5314"/>
        <w:gridCol w:w="2506"/>
      </w:tblGrid>
      <w:tr>
        <w:trPr>
          <w:tblHeader/>
          <w:cantSplit/>
        </w:trPr>
        <w:tc>
          <w:tcPr>
            <w:tcW w:type="dxa" w:w="234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Parameter</w:t>
            </w:r>
          </w:p>
        </w:tc>
        <w:tc>
          <w:tcPr>
            <w:tcW w:type="dxa" w:w="531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Documented rule</w:t>
            </w:r>
          </w:p>
        </w:tc>
        <w:tc>
          <w:tcPr>
            <w:tcW w:type="dxa" w:w="250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Confidence</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Activation cost</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charges; insufficient charges prevent activation.</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S07, S10, S13</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Normal destination</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Another house, described as random.</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S08, S10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Failure outcome</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Open ground between houses, potentially near the origin or centre.</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 S06, S08</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Reported success chance</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Approximately 50% in RuneHQ; approximately 90% in wiki-derived text.</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X | S06, S08, S13</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Destination distribution</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Uniform selection, source-house exclusion and precise landing tiles are not established.</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U</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Failed activation accounting</w:t>
            </w:r>
          </w:p>
        </w:tc>
        <w:tc>
          <w:tcPr>
            <w:tcW w:type="dxa" w:w="53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Cost described per use; exact debit/refund ordering on failure is unverified.</w:t>
            </w:r>
          </w:p>
        </w:tc>
        <w:tc>
          <w:tcPr>
            <w:tcW w:type="dxa" w:w="2506"/>
            <w:vAlign w:val="center"/>
            <w:tcMar>
              <w:top w:w="70" w:type="dxa"/>
              <w:bottom w:w="70" w:type="dxa"/>
              <w:left w:w="95" w:type="dxa"/>
              <w:right w:w="95" w:type="dxa"/>
            </w:tcMar>
            <w:tcBorders>
              <w:bottom w:val="single" w:sz="3" w:color="D8E1E5"/>
            </w:tcBorders>
          </w:tcPr>
          <w:p>
            <w:pPr>
              <w:spacing w:after="0" w:before="0" w:line="245" w:lineRule="auto"/>
            </w:pPr>
            <w:r>
              <w:rPr>
                <w:b w:val="0"/>
                <w:sz w:val="20"/>
              </w:rPr>
              <w:t>U</w:t>
            </w:r>
          </w:p>
        </w:tc>
      </w:tr>
    </w:tbl>
    <w:p>
      <w:pPr>
        <w:spacing w:after="60" w:before="0" w:line="240" w:lineRule="auto"/>
      </w:pPr>
      <w:r>
        <w:rPr>
          <w:sz w:val="4"/>
        </w:rPr>
      </w:r>
    </w:p>
    <w:p>
      <w:r>
        <w:rPr>
          <w:b w:val="0"/>
        </w:rPr>
        <w:t>A 50% report and a 90% report are not two samples that justify a 70% average. They could reflect a change, different definitions of success, or inaccurate estimates. No sample size or recovered Jagex probability accompanies either. Portal RNG must remain an unresolved parameter.</w:t>
      </w:r>
    </w:p>
    <w:p>
      <w:pPr/>
      <w:r>
        <w:t>The friend's implementation uses 50% initial portal success, subtracts 5 percentage points after uses, and applies a 25% floor. Its own source text identifies this as a placeholder. Repeated-use deterioration is a hypothesis, not a recovered probability schedule. [S39 section 10]</w:t>
      </w:r>
    </w:p>
    <w:p>
      <w:bookmarkStart w:id="36" w:name="section_36"/>
      <w:pPr>
        <w:pStyle w:val="Heading2"/>
      </w:pPr>
      <w:r>
        <w:t>6.3 Orb versus portal</w:t>
      </w:r>
      <w:bookmarkEnd w:id="36"/>
    </w:p>
    <w:p>
      <w:r>
        <w:rPr>
          <w:b w:val="0"/>
        </w:rPr>
        <w:t xml:space="preserve">The tele-orb is a </w:t>
      </w:r>
      <w:r>
        <w:rPr>
          <w:b/>
        </w:rPr>
        <w:t>single-use centre teleport</w:t>
      </w:r>
      <w:r>
        <w:rPr>
          <w:b w:val="0"/>
        </w:rPr>
        <w:t>, allocated once per match. It is not a house portal and no 20-charge cost is documented for it. Its legacy item entry prohibits use in the waiting room or when a round is ending. The German guide observes that teleporting while already targeted can leave the hunter running automatically towards the centre; the orb should not be treated as a guaranteed target-lock reset. [S11, S15]</w:t>
      </w:r>
    </w:p>
    <w:p>
      <w:bookmarkStart w:id="37" w:name="section_37"/>
      <w:pPr>
        <w:pStyle w:val="Heading2"/>
      </w:pPr>
      <w:r>
        <w:t>6.4 Opportunity-cost arithmetic</w:t>
      </w:r>
      <w:bookmarkEnd w:id="37"/>
    </w:p>
    <w:p>
      <w:r>
        <w:rPr>
          <w:b w:val="0"/>
        </w:rPr>
        <w:t xml:space="preserve">D: one portal spends 20 charges, equivalent to 20/28 = </w:t>
      </w:r>
      <w:r>
        <w:rPr>
          <w:b/>
        </w:rPr>
        <w:t>0.714 centre pulses</w:t>
      </w:r>
      <w:r>
        <w:rPr>
          <w:b w:val="0"/>
        </w:rPr>
        <w:t xml:space="preserve"> or approximately </w:t>
      </w:r>
      <w:r>
        <w:rPr>
          <w:b/>
        </w:rPr>
        <w:t>2.143 seconds</w:t>
      </w:r>
      <w:r>
        <w:rPr>
          <w:b w:val="0"/>
        </w:rPr>
        <w:t xml:space="preserve"> at a continuous 28-per-three-second rate. The actual game is discrete: it does not award fractional pulses.</w:t>
      </w:r>
    </w:p>
    <w:p>
      <w:pPr>
        <w:spacing w:before="60" w:after="160"/>
        <w:ind w:left="230"/>
      </w:pPr>
      <w:r>
        <w:rPr>
          <w:rFonts w:ascii="Consolas" w:hAnsi="Consolas"/>
          <w:b w:val="0"/>
          <w:sz w:val="20"/>
        </w:rPr>
        <w:t>score opportunity cost = 20 + 28k</w:t>
        <w:br/>
        <w:t>where k = missed centre pulses during the detour</w:t>
      </w:r>
    </w:p>
    <w:p>
      <w:r>
        <w:rPr>
          <w:b w:val="0"/>
        </w:rPr>
        <w:t xml:space="preserve">D: a hypothetical 15-second house detour that misses exactly five centre pulses costs </w:t>
      </w:r>
      <w:r>
        <w:rPr>
          <w:b/>
        </w:rPr>
        <w:t>160 charges</w:t>
      </w:r>
      <w:r>
        <w:rPr>
          <w:b w:val="0"/>
        </w:rPr>
        <w:t xml:space="preserve"> including the portal. It needs six additional +28 pulses to outperform the no-detour score, unless it also changes other scoring opportunities. Whether the detour is worthwhile depends on extra survival, not merely its nominal teleport price.</w:t>
      </w:r>
    </w:p>
    <w:p>
      <w:bookmarkStart w:id="38" w:name="section_38"/>
      <w:pPr>
        <w:pStyle w:val="Heading1"/>
      </w:pPr>
      <w:r>
        <w:t>7. Combat permissions, spells and experience</w:t>
      </w:r>
      <w:bookmarkEnd w:id="38"/>
    </w:p>
    <w:p>
      <w:bookmarkStart w:id="39" w:name="section_39"/>
      <w:pPr>
        <w:pStyle w:val="Heading2"/>
      </w:pPr>
      <w:r>
        <w:t>7.1 Role restriction is not equipment restriction</w:t>
      </w:r>
      <w:bookmarkEnd w:id="39"/>
    </w:p>
    <w:p>
      <w:r>
        <w:t>The reproduced historical manual restricts the hunted to Vengeance, Cure Poison and Dream. Legacy wiki text describes melee/ranged retaliation with the stone unequipped. The supplied 2010 report instead claims the only offensive option is Magic with the stone unequipped. These descriptions conflict. A two-handed stone explains the equipped-state restriction, but does not establish inventory-wide weapon blocking or the entire role-level spell whitelist. [S10, S13, S14, S39 section 5.1]</w:t>
      </w:r>
    </w:p>
    <w:p>
      <w:r>
        <w:t>For 727, validate separate states: stone equipped, stone carried, stone absent, inside a house, and the hunter role. Test equipment permission, attack permission and spell permission independently. The 2015 all-three-styles change establishes a later relaxation, not proof that either contradictory older description is wholly correct. Client spellbook highlighting is not server permission to cast. [S02, S39 section 8.3]</w:t>
      </w:r>
    </w:p>
    <w:p>
      <w:pPr>
        <w:pStyle w:val="Heading2"/>
      </w:pPr>
      <w:r>
        <w:t>7.2 Target combat exceptions and restrictions</w:t>
      </w:r>
    </w:p>
    <w:tbl>
      <w:tblPr>
        <w:tblW w:type="auto" w:w="0"/>
        <w:jc w:val="center"/>
        <w:tblLayout w:type="fixed"/>
        <w:tblLook w:firstColumn="1" w:firstRow="1" w:lastColumn="0" w:lastRow="0" w:noHBand="0" w:noVBand="1" w:val="04A0"/>
      </w:tblPr>
      <w:tblGrid>
        <w:gridCol w:w="1944"/>
        <w:gridCol w:w="5818"/>
        <w:gridCol w:w="2405"/>
      </w:tblGrid>
      <w:tr>
        <w:trPr>
          <w:tblHeader/>
          <w:cantSplit/>
        </w:trPr>
        <w:tc>
          <w:tcPr>
            <w:tcW w:type="dxa" w:w="194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Rule group</w:t>
            </w:r>
          </w:p>
        </w:tc>
        <w:tc>
          <w:tcPr>
            <w:tcW w:type="dxa" w:w="581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Documented content</w:t>
            </w:r>
          </w:p>
        </w:tc>
        <w:tc>
          <w:tcPr>
            <w:tcW w:type="dxa" w:w="240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Status</w:t>
            </w:r>
          </w:p>
        </w:tc>
      </w:tr>
      <w:tr>
        <w:trPr>
          <w:cantSplit/>
        </w:trPr>
        <w:tc>
          <w:tcPr>
            <w:tcW w:type="dxa" w:w="19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Legacy binding</w:t>
            </w:r>
          </w:p>
        </w:tc>
        <w:tc>
          <w:tcPr>
            <w:tcW w:type="dxa" w:w="5818"/>
            <w:vAlign w:val="center"/>
            <w:tcMar>
              <w:top w:w="70" w:type="dxa"/>
              <w:bottom w:w="70" w:type="dxa"/>
              <w:left w:w="95" w:type="dxa"/>
              <w:right w:w="95" w:type="dxa"/>
            </w:tcMar>
            <w:tcBorders>
              <w:bottom w:val="single" w:sz="3" w:color="D8E1E5"/>
            </w:tcBorders>
          </w:tcPr>
          <w:p>
            <w:pPr>
              <w:spacing w:after="0" w:before="0" w:line="245" w:lineRule="auto"/>
            </w:pPr>
            <w:r>
              <w:rPr>
                <w:b w:val="0"/>
                <w:sz w:val="20"/>
              </w:rPr>
              <w:t>Bind, Snare and Entangle have shortened effectiveness in FoG.</w:t>
            </w:r>
          </w:p>
        </w:tc>
        <w:tc>
          <w:tcPr>
            <w:tcW w:type="dxa" w:w="240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B/C | S10; exact FoG durations unknown.</w:t>
            </w:r>
          </w:p>
        </w:tc>
      </w:tr>
      <w:tr>
        <w:trPr>
          <w:cantSplit/>
        </w:trPr>
        <w:tc>
          <w:tcPr>
            <w:tcW w:type="dxa" w:w="1944"/>
            <w:vAlign w:val="center"/>
          </w:tcPr>
          <w:p>
            <w:r>
              <w:rPr>
                <w:sz w:val="20"/>
              </w:rPr>
              <w:t>Hunted spell exceptions</w:t>
            </w:r>
          </w:p>
        </w:tc>
        <w:tc>
          <w:tcPr>
            <w:tcW w:type="dxa" w:w="5818"/>
            <w:vAlign w:val="center"/>
          </w:tcPr>
          <w:p>
            <w:r>
              <w:rPr>
                <w:sz w:val="20"/>
              </w:rPr>
              <w:t>Vengeance, Cure Poison and Dream in the historical manual.</w:t>
            </w:r>
          </w:p>
        </w:tc>
        <w:tc>
          <w:tcPr>
            <w:tcW w:type="dxa" w:w="2405"/>
            <w:vAlign w:val="center"/>
          </w:tcPr>
          <w:p>
            <w:r>
              <w:rPr>
                <w:sz w:val="20"/>
              </w:rPr>
              <w:t>B/C | S10; exact 727 state predicate pending.</w:t>
            </w:r>
          </w:p>
        </w:tc>
      </w:tr>
      <w:tr>
        <w:trPr>
          <w:cantSplit/>
        </w:trPr>
        <w:tc>
          <w:tcPr>
            <w:tcW w:type="dxa" w:w="1944"/>
            <w:vAlign w:val="center"/>
          </w:tcPr>
          <w:p>
            <w:r>
              <w:rPr>
                <w:sz w:val="20"/>
              </w:rPr>
              <w:t>Familiars</w:t>
            </w:r>
          </w:p>
        </w:tc>
        <w:tc>
          <w:tcPr>
            <w:tcW w:type="dxa" w:w="5818"/>
            <w:vAlign w:val="center"/>
          </w:tcPr>
          <w:p>
            <w:r>
              <w:rPr>
                <w:sz w:val="20"/>
              </w:rPr>
              <w:t>Hunted familiar effectiveness reduced; summoned-familiar house entry needs a target check.</w:t>
            </w:r>
          </w:p>
        </w:tc>
        <w:tc>
          <w:tcPr>
            <w:tcW w:type="dxa" w:w="2405"/>
            <w:vAlign w:val="center"/>
          </w:tcPr>
          <w:p>
            <w:r>
              <w:rPr>
                <w:sz w:val="20"/>
              </w:rPr>
              <w:t>S10; later S02 relaxation excluded.</w:t>
            </w:r>
          </w:p>
        </w:tc>
      </w:tr>
      <w:tr>
        <w:trPr>
          <w:cantSplit/>
        </w:trPr>
        <w:tc>
          <w:tcPr>
            <w:tcW w:type="dxa" w:w="1944"/>
            <w:vAlign w:val="center"/>
          </w:tcPr>
          <w:p>
            <w:r>
              <w:rPr>
                <w:sz w:val="20"/>
              </w:rPr>
              <w:t>Ordinary 2012 combat systems</w:t>
            </w:r>
          </w:p>
        </w:tc>
        <w:tc>
          <w:tcPr>
            <w:tcW w:type="dxa" w:w="5818"/>
            <w:vAlign w:val="center"/>
          </w:tcPr>
          <w:p>
            <w:r>
              <w:rPr>
                <w:sz w:val="20"/>
              </w:rPr>
              <w:t>Special attacks, poison, protection prayers and era-valid equipment retain distinct base rules.</w:t>
            </w:r>
          </w:p>
        </w:tc>
        <w:tc>
          <w:tcPr>
            <w:tcW w:type="dxa" w:w="2405"/>
            <w:vAlign w:val="center"/>
          </w:tcPr>
          <w:p>
            <w:r>
              <w:rPr>
                <w:sz w:val="20"/>
              </w:rPr>
              <w:t>S07-S11; exact exceptions not inferred from item existence.</w:t>
            </w:r>
          </w:p>
        </w:tc>
      </w:tr>
    </w:tbl>
    <w:p>
      <w:pPr>
        <w:spacing w:after="60" w:before="0" w:line="240" w:lineRule="auto"/>
      </w:pPr>
      <w:r>
        <w:rPr>
          <w:sz w:val="4"/>
        </w:rPr>
      </w:r>
    </w:p>
    <w:p>
      <w:r>
        <w:t>Bind, Snare and Entangle are reported to last less time in FoG. No exact replacement durations are established, so neither ordinary durations nor an arbitrary halving is justified. The absence of EoC abilities and the later 2015 blacklist does not establish that every spell or healing effect was permitted in 727. [S10; S02 exclusion]</w:t>
      </w:r>
    </w:p>
    <w:p>
      <w:bookmarkStart w:id="41" w:name="section_41"/>
      <w:pPr>
        <w:pStyle w:val="Heading2"/>
      </w:pPr>
      <w:r>
        <w:t>7.3 Combat, death and XP</w:t>
      </w:r>
      <w:bookmarkEnd w:id="41"/>
    </w:p>
    <w:p>
      <w:r>
        <w:rPr>
          <w:b w:val="0"/>
        </w:rPr>
        <w:t>Only the paired opponent is the competitive target. Protection prayers, armour changes, poison and spellbook choice feature in historical tactics, but their base accuracy and damage calculations belong to the combat era rather than a single timeless FoG formula. Killing a hunter forces a respawn instead of completing the hunted objective. [S07-S11, S13]</w:t>
      </w:r>
    </w:p>
    <w:p>
      <w:r>
        <w:t>The target uses pre-EoC combat. The later guide account of an opponent-death XP award must not be installed as the 727 award rule without dated or script-level evidence. Exact per-cast Magic XP, damage XP, successful-hit exceptions and multipliers remain open. Charge score is not an XP currency. [S04, S07; target qualification]</w:t>
      </w:r>
    </w:p>
    <w:p>
      <w:bookmarkStart w:id="42" w:name="section_42"/>
      <w:pPr>
        <w:pStyle w:val="Heading1"/>
      </w:pPr>
      <w:r>
        <w:t>8. Results, tokens, rating and forfeits</w:t>
      </w:r>
      <w:bookmarkEnd w:id="42"/>
    </w:p>
    <w:p>
      <w:bookmarkStart w:id="43" w:name="section_43"/>
      <w:pPr>
        <w:pStyle w:val="Heading2"/>
      </w:pPr>
      <w:r>
        <w:t>8.1 Normal result</w:t>
      </w:r>
      <w:bookmarkEnd w:id="43"/>
    </w:p>
    <w:p>
      <w:pPr>
        <w:spacing w:before="60" w:after="160"/>
        <w:ind w:left="230"/>
      </w:pPr>
      <w:r>
        <w:rPr>
          <w:rFonts w:ascii="Consolas" w:hAnsi="Consolas"/>
          <w:b w:val="0"/>
          <w:sz w:val="20"/>
        </w:rPr>
        <w:t>winner = A if charges_A &gt; charges_B</w:t>
        <w:br/>
        <w:t>winner = B if charges_B &gt; charges_A</w:t>
        <w:br/>
        <w:t>equal charges -&gt; both recorded as losing</w:t>
      </w:r>
    </w:p>
    <w:p>
      <w:r>
        <w:rPr>
          <w:b w:val="0"/>
        </w:rPr>
        <w:t>The higher hunted score determines the winner. The score comparison is well described; the reward equations are not. A player's token reward depends on charges and total skill level in the historical manual and Dutch token reference. That does not identify an exact coefficient, rounding policy or skill list. [S06, S10, S13, S36]</w:t>
      </w:r>
    </w:p>
    <w:tbl>
      <w:tblPr>
        <w:tblW w:type="auto" w:w="0"/>
        <w:jc w:val="center"/>
        <w:tblLayout w:type="fixed"/>
        <w:tblLook w:firstColumn="1" w:firstRow="1" w:lastColumn="0" w:lastRow="0" w:noHBand="0" w:noVBand="1" w:val="04A0"/>
      </w:tblPr>
      <w:tblGrid>
        <w:gridCol w:w="1786"/>
        <w:gridCol w:w="4709"/>
        <w:gridCol w:w="3672"/>
      </w:tblGrid>
      <w:tr>
        <w:trPr>
          <w:tblHeader/>
          <w:cantSplit/>
        </w:trPr>
        <w:tc>
          <w:tcPr>
            <w:tcW w:type="dxa" w:w="178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Quantity</w:t>
            </w:r>
          </w:p>
        </w:tc>
        <w:tc>
          <w:tcPr>
            <w:tcW w:type="dxa" w:w="470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Recovered constraint</w:t>
            </w:r>
          </w:p>
        </w:tc>
        <w:tc>
          <w:tcPr>
            <w:tcW w:type="dxa" w:w="367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Not recovered</w:t>
            </w:r>
          </w:p>
        </w:tc>
      </w:tr>
      <w:tr>
        <w:trPr>
          <w:cantSplit/>
        </w:trPr>
        <w:tc>
          <w:tcPr>
            <w:tcW w:type="dxa" w:w="17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Winner tokens</w:t>
            </w:r>
          </w:p>
        </w:tc>
        <w:tc>
          <w:tcPr>
            <w:tcW w:type="dxa" w:w="4709"/>
            <w:vAlign w:val="center"/>
            <w:tcMar>
              <w:top w:w="70" w:type="dxa"/>
              <w:bottom w:w="70" w:type="dxa"/>
              <w:left w:w="95" w:type="dxa"/>
              <w:right w:w="95" w:type="dxa"/>
            </w:tcMar>
            <w:tcBorders>
              <w:bottom w:val="single" w:sz="3" w:color="D8E1E5"/>
            </w:tcBorders>
          </w:tcPr>
          <w:p>
            <w:pPr>
              <w:spacing w:after="0" w:before="0" w:line="245" w:lineRule="auto"/>
            </w:pPr>
            <w:r>
              <w:rPr>
                <w:b w:val="0"/>
                <w:sz w:val="20"/>
              </w:rPr>
              <w:t>Depends on charge performance and total skill level.</w:t>
            </w:r>
          </w:p>
        </w:tc>
        <w:tc>
          <w:tcPr>
            <w:tcW w:type="dxa" w:w="36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Closed formula, caps, rounding, precise handling of later skills.</w:t>
            </w:r>
          </w:p>
        </w:tc>
      </w:tr>
      <w:tr>
        <w:trPr>
          <w:cantSplit/>
        </w:trPr>
        <w:tc>
          <w:tcPr>
            <w:tcW w:type="dxa" w:w="17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Loser / tied tokens</w:t>
            </w:r>
          </w:p>
        </w:tc>
        <w:tc>
          <w:tcPr>
            <w:tcW w:type="dxa" w:w="4709"/>
            <w:vAlign w:val="center"/>
            <w:tcMar>
              <w:top w:w="70" w:type="dxa"/>
              <w:bottom w:w="70" w:type="dxa"/>
              <w:left w:w="95" w:type="dxa"/>
              <w:right w:w="95" w:type="dxa"/>
            </w:tcMar>
            <w:tcBorders>
              <w:bottom w:val="single" w:sz="3" w:color="D8E1E5"/>
            </w:tcBorders>
          </w:tcPr>
          <w:p>
            <w:pPr>
              <w:spacing w:after="0" w:before="0" w:line="245" w:lineRule="auto"/>
            </w:pPr>
            <w:r>
              <w:rPr>
                <w:b w:val="0"/>
                <w:sz w:val="20"/>
              </w:rPr>
              <w:t>Legacy descriptions give 1 token; RuneHQ conditions its statement on both scores exceeding 1,000. Later wiki gives 1-3 for effort.</w:t>
            </w:r>
          </w:p>
        </w:tc>
        <w:tc>
          <w:tcPr>
            <w:tcW w:type="dxa" w:w="36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One universal minimum or exact effort threshold function.</w:t>
            </w:r>
          </w:p>
        </w:tc>
      </w:tr>
      <w:tr>
        <w:trPr>
          <w:cantSplit/>
        </w:trPr>
        <w:tc>
          <w:tcPr>
            <w:tcW w:type="dxa" w:w="17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Rating change</w:t>
            </w:r>
          </w:p>
        </w:tc>
        <w:tc>
          <w:tcPr>
            <w:tcW w:type="dxa" w:w="4709"/>
            <w:vAlign w:val="center"/>
            <w:tcMar>
              <w:top w:w="70" w:type="dxa"/>
              <w:bottom w:w="70" w:type="dxa"/>
              <w:left w:w="95" w:type="dxa"/>
              <w:right w:w="95" w:type="dxa"/>
            </w:tcMar>
            <w:tcBorders>
              <w:bottom w:val="single" w:sz="3" w:color="D8E1E5"/>
            </w:tcBorders>
          </w:tcPr>
          <w:p>
            <w:pPr>
              <w:spacing w:after="0" w:before="0" w:line="245" w:lineRule="auto"/>
            </w:pPr>
            <w:r>
              <w:rPr>
                <w:b w:val="0"/>
                <w:sz w:val="20"/>
              </w:rPr>
              <w:t>Win/loss performance metric; Tip.It describes a floor of 0. Accounts differ on charge-gap/combat-level influence.</w:t>
            </w:r>
          </w:p>
        </w:tc>
        <w:tc>
          <w:tcPr>
            <w:tcW w:type="dxa" w:w="36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A verified Elo system, K-factor or exact delta equation.</w:t>
            </w:r>
          </w:p>
        </w:tc>
      </w:tr>
      <w:tr>
        <w:trPr>
          <w:cantSplit/>
        </w:trPr>
        <w:tc>
          <w:tcPr>
            <w:tcW w:type="dxa" w:w="17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Hiscores</w:t>
            </w:r>
          </w:p>
        </w:tc>
        <w:tc>
          <w:tcPr>
            <w:tcW w:type="dxa" w:w="4709"/>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Historical official description requires rating of at least 500.</w:t>
            </w:r>
          </w:p>
        </w:tc>
        <w:tc>
          <w:tcPr>
            <w:tcW w:type="dxa" w:w="36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Current rank-table capacity or unchanged 2026 eligibility.</w:t>
            </w:r>
          </w:p>
        </w:tc>
      </w:tr>
      <w:tr>
        <w:trPr>
          <w:cantSplit/>
        </w:trPr>
        <w:tc>
          <w:tcPr>
            <w:tcW w:type="dxa" w:w="17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Local scoreboard</w:t>
            </w:r>
          </w:p>
        </w:tc>
        <w:tc>
          <w:tcPr>
            <w:tcW w:type="dxa" w:w="4709"/>
            <w:vAlign w:val="center"/>
            <w:tcMar>
              <w:top w:w="70" w:type="dxa"/>
              <w:bottom w:w="70" w:type="dxa"/>
              <w:left w:w="95" w:type="dxa"/>
              <w:right w:w="95" w:type="dxa"/>
            </w:tcMar>
            <w:tcBorders>
              <w:bottom w:val="single" w:sz="3" w:color="D8E1E5"/>
            </w:tcBorders>
          </w:tcPr>
          <w:p>
            <w:pPr>
              <w:spacing w:after="0" w:before="0" w:line="245" w:lineRule="auto"/>
            </w:pPr>
            <w:r>
              <w:rPr>
                <w:b w:val="0"/>
                <w:sz w:val="20"/>
              </w:rPr>
              <w:t>Sal's guide describes the last 50 completed matches.</w:t>
            </w:r>
          </w:p>
        </w:tc>
        <w:tc>
          <w:tcPr>
            <w:tcW w:type="dxa" w:w="36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Exact refresh and persistence behaviour.</w:t>
            </w:r>
          </w:p>
        </w:tc>
      </w:tr>
    </w:tbl>
    <w:p>
      <w:pPr>
        <w:spacing w:after="60" w:before="0" w:line="240" w:lineRule="auto"/>
      </w:pPr>
      <w:r>
        <w:rPr>
          <w:sz w:val="4"/>
        </w:rPr>
      </w:r>
    </w:p>
    <w:p>
      <w:pPr>
        <w:pStyle w:val="Caption"/>
      </w:pPr>
      <w:r>
        <w:rPr>
          <w:b w:val="0"/>
        </w:rPr>
        <w:t>Constraints: [S06-S10, S13, S36]. "Over 500" shorthand in some guides must not override an explicit at-least-500 statement.</w:t>
      </w:r>
    </w:p>
    <w:p>
      <w:r>
        <w:rPr>
          <w:b w:val="0"/>
        </w:rPr>
        <w:t>It is incorrect to substitute any attractive rule such as tokens = floor(charges/100), rating = charge difference/100, or tokens = a fixed reward for a win. Those can be emulator design choices, but none is a recovered exact FoG formula. Observed tokens per hour additionally depend on queue time, opponent strength, supplies and round lengths; they cannot identify the per-match function.</w:t>
      </w:r>
    </w:p>
    <w:p>
      <w:bookmarkStart w:id="44" w:name="section_44"/>
      <w:pPr>
        <w:pStyle w:val="Heading2"/>
      </w:pPr>
      <w:r>
        <w:t>8.2 Exceptional completion</w:t>
      </w:r>
      <w:bookmarkEnd w:id="44"/>
    </w:p>
    <w:tbl>
      <w:tblPr>
        <w:tblW w:type="auto" w:w="0"/>
        <w:jc w:val="center"/>
        <w:tblLayout w:type="fixed"/>
        <w:tblLook w:firstColumn="1" w:firstRow="1" w:lastColumn="0" w:lastRow="0" w:noHBand="0" w:noVBand="1" w:val="04A0"/>
      </w:tblPr>
      <w:tblGrid>
        <w:gridCol w:w="2592"/>
        <w:gridCol w:w="3787"/>
        <w:gridCol w:w="3787"/>
      </w:tblGrid>
      <w:tr>
        <w:trPr>
          <w:tblHeader/>
          <w:cantSplit/>
        </w:trPr>
        <w:tc>
          <w:tcPr>
            <w:tcW w:type="dxa" w:w="259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Event</w:t>
            </w:r>
          </w:p>
        </w:tc>
        <w:tc>
          <w:tcPr>
            <w:tcW w:type="dxa" w:w="378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Documented treatment</w:t>
            </w:r>
          </w:p>
        </w:tc>
        <w:tc>
          <w:tcPr>
            <w:tcW w:type="dxa" w:w="378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Caveat</w:t>
            </w:r>
          </w:p>
        </w:tc>
      </w:tr>
      <w:tr>
        <w:trPr>
          <w:cantSplit/>
        </w:trPr>
        <w:tc>
          <w:tcPr>
            <w:tcW w:type="dxa" w:w="25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Player forfeits</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ordinary token reward for the quitter; rating and subsequent-game penalties are described.</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Magnitude and next-game adjustment remain unknown. [S07, S10]</w:t>
            </w:r>
          </w:p>
        </w:tc>
      </w:tr>
      <w:tr>
        <w:trPr>
          <w:cantSplit/>
        </w:trPr>
        <w:tc>
          <w:tcPr>
            <w:tcW w:type="dxa" w:w="25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Opponent leaves before your hunted turn</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Remaining player is compensated with charges and wins.</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Wiki gives 150 or 500 without a recovered branch condition. [S06, S10]</w:t>
            </w:r>
          </w:p>
        </w:tc>
      </w:tr>
      <w:tr>
        <w:trPr>
          <w:cantSplit/>
        </w:trPr>
        <w:tc>
          <w:tcPr>
            <w:tcW w:type="dxa" w:w="25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Both scores equal</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Both lose; consolation-token descriptions vary.</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Not a split victory or mutual win. [S06, S13]</w:t>
            </w:r>
          </w:p>
        </w:tc>
      </w:tr>
      <w:tr>
        <w:trPr>
          <w:cantSplit/>
        </w:trPr>
        <w:tc>
          <w:tcPr>
            <w:tcW w:type="dxa" w:w="25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Disconnect</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Treated as exceptional departure in descriptions.</w:t>
            </w:r>
          </w:p>
        </w:tc>
        <w:tc>
          <w:tcPr>
            <w:tcW w:type="dxa" w:w="37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Timeout/grace handling and same-tick ordering are unspecified.</w:t>
            </w:r>
          </w:p>
        </w:tc>
      </w:tr>
    </w:tbl>
    <w:p>
      <w:pPr>
        <w:spacing w:after="60" w:before="0" w:line="240" w:lineRule="auto"/>
      </w:pPr>
      <w:r>
        <w:rPr>
          <w:sz w:val="4"/>
        </w:rPr>
      </w:r>
    </w:p>
    <w:p>
      <w:r>
        <w:t>Forfeit compensation is reported as 150 or 500 charges, but the branch condition remains unknown. The friend's choice of 500 after a round begins and 150 before is explicitly a placeholder. Preserve historical forfeiter and next-game penalty behavior as separate unknowns; do not introduce the two-minute 2015 cooldown into 727. [S10, S39 section 10; S02 exclusion]</w:t>
      </w:r>
    </w:p>
    <w:p>
      <w:bookmarkStart w:id="45" w:name="section_45"/>
      <w:pPr>
        <w:pStyle w:val="Heading2"/>
      </w:pPr>
      <w:r>
        <w:t>8.3 Token storage</w:t>
      </w:r>
      <w:bookmarkEnd w:id="45"/>
    </w:p>
    <w:p>
      <w:r>
        <w:t>In the target era, FoG tokens are physical items used with Reggie. The supplied report identifies item 12852 as the stackable token; its exact 727 definition still requires confirmation. The virtual-token conversion is a later change, not part of this target. [S35, S39 section 7.2; S02 exclusion]</w:t>
      </w:r>
    </w:p>
    <w:p>
      <w:bookmarkStart w:id="46" w:name="section_46"/>
      <w:pPr>
        <w:pStyle w:val="Heading1"/>
      </w:pPr>
      <w:r>
        <w:t>9. Compact match specification</w:t>
      </w:r>
      <w:bookmarkEnd w:id="46"/>
    </w:p>
    <w:p>
      <w:r>
        <w:rPr>
          <w:b w:val="0"/>
        </w:rPr>
        <w:t>The following is a reconstruction checklist, not decompiled Jagex logic. A value marked unknown should stay configurable or fail validation, rather than acquire an undocumented default.</w:t>
      </w:r>
    </w:p>
    <w:tbl>
      <w:tblPr>
        <w:tblW w:type="auto" w:w="0"/>
        <w:jc w:val="center"/>
        <w:tblLayout w:type="fixed"/>
        <w:tblLook w:firstColumn="1" w:firstRow="1" w:lastColumn="0" w:lastRow="0" w:noHBand="0" w:noVBand="1" w:val="04A0"/>
      </w:tblPr>
      <w:tblGrid>
        <w:gridCol w:w="3226"/>
        <w:gridCol w:w="5227"/>
        <w:gridCol w:w="1714"/>
      </w:tblGrid>
      <w:tr>
        <w:trPr>
          <w:tblHeader/>
          <w:cantSplit/>
        </w:trPr>
        <w:tc>
          <w:tcPr>
            <w:tcW w:type="dxa" w:w="322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Parameter / rule</w:t>
            </w:r>
          </w:p>
        </w:tc>
        <w:tc>
          <w:tcPr>
            <w:tcW w:type="dxa" w:w="522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Value or state</w:t>
            </w:r>
          </w:p>
        </w:tc>
        <w:tc>
          <w:tcPr>
            <w:tcW w:type="dxa" w:w="171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Evidence</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round_count</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2</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round_time_limit_seconds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600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hunted_charge_ceiling</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5,000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charge_pulse_seconds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Approximately 3</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 exact phase U</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charge_increment_by_tile</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Observed 3, 5, 6, 10, 15, 21, 28; mapping unknown</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B/C/X</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charge_eligibility</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Hunted + equipped stone + outside house</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house_count / house_charge_rate</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portal_cost / house_reentry_seconds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 20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portal_success_probability</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Unresolved: ~0.50 versus ~0.90 reports</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X</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match_supplies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Bandages 5; catalytic 300; elemental 1,000; orb 1</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refresh_supplies_at_swap</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False</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hunter_death_ends_round</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False</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equal_scores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Both lose</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lobby_minimum</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16 for the documentary 727 profile; scheduler unresolved</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B/C | S06, S39</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forfeit_cooldown_seconds</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 not import the 2015 120-second penalty; earlier penalty rules in section 8</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exclusion | S02</w:t>
            </w:r>
          </w:p>
        </w:tc>
      </w:tr>
      <w:tr>
        <w:trPr>
          <w:cantSplit/>
        </w:trPr>
        <w:tc>
          <w:tcPr>
            <w:tcW w:type="dxa" w:w="3226"/>
            <w:vAlign w:val="center"/>
            <w:tcMar>
              <w:top w:w="70" w:type="dxa"/>
              <w:bottom w:w="70" w:type="dxa"/>
              <w:left w:w="95" w:type="dxa"/>
              <w:right w:w="95" w:type="dxa"/>
            </w:tcMar>
            <w:tcBorders>
              <w:bottom w:val="single" w:sz="3" w:color="D8E1E5"/>
            </w:tcBorders>
          </w:tcPr>
          <w:p>
            <w:pPr>
              <w:spacing w:after="0" w:before="0" w:line="245" w:lineRule="auto"/>
            </w:pPr>
            <w:r>
              <w:rPr>
                <w:b w:val="0"/>
                <w:sz w:val="20"/>
              </w:rPr>
              <w:t>token_formula / rating_formula</w:t>
            </w:r>
          </w:p>
        </w:tc>
        <w:tc>
          <w:tcPr>
            <w:tcW w:type="dxa" w:w="5227"/>
            <w:vAlign w:val="center"/>
            <w:tcMar>
              <w:top w:w="70" w:type="dxa"/>
              <w:bottom w:w="70" w:type="dxa"/>
              <w:left w:w="95" w:type="dxa"/>
              <w:right w:w="95" w:type="dxa"/>
            </w:tcMar>
            <w:tcBorders>
              <w:bottom w:val="single" w:sz="3" w:color="D8E1E5"/>
            </w:tcBorders>
          </w:tcPr>
          <w:p>
            <w:pPr>
              <w:spacing w:after="0" w:before="0" w:line="245" w:lineRule="auto"/>
            </w:pPr>
            <w:r>
              <w:rPr>
                <w:b w:val="0"/>
                <w:sz w:val="20"/>
              </w:rPr>
              <w:t>Unknown; do not synthesize constants</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U</w:t>
            </w:r>
          </w:p>
        </w:tc>
      </w:tr>
    </w:tbl>
    <w:p>
      <w:pPr>
        <w:spacing w:after="60" w:before="0" w:line="240" w:lineRule="auto"/>
      </w:pPr>
      <w:r>
        <w:rPr>
          <w:sz w:val="4"/>
        </w:rPr>
      </w:r>
    </w:p>
    <w:p>
      <w:pPr>
        <w:pStyle w:val="Caption"/>
      </w:pPr>
      <w:r>
        <w:rPr>
          <w:b w:val="0"/>
        </w:rPr>
        <w:t>Cross-reference: sections 2-8. Numeric precision here indicates the documented value, not recovered server code.</w:t>
      </w:r>
    </w:p>
    <w:p>
      <w:bookmarkStart w:id="47" w:name="section_47"/>
      <w:pPr>
        <w:pStyle w:val="Heading2"/>
      </w:pPr>
      <w:r>
        <w:t>9.1 State separation</w:t>
      </w:r>
      <w:bookmarkEnd w:id="47"/>
    </w:p>
    <w:p>
      <w:r>
        <w:rPr>
          <w:b w:val="0"/>
        </w:rPr>
        <w:t>Suggested independent state: match identifier; opponent; role; round index; round deadline; each player's hunted score; remaining supplies; equipped-stone flag; house occupancy; last house exit; portal destination/result; ambient-damage counter; health/stat snapshots; forfeit status; token/rating result. This is an original implementation design, not evidence of the game's internal data layout.</w:t>
      </w:r>
    </w:p>
    <w:p>
      <w:r>
        <w:rPr>
          <w:b w:val="0"/>
        </w:rPr>
        <w:t>Keep event ordering explicit. A player might hit 5,000, die, teleport or time out during the same engine cycle. Resolving those events in a different order can alter winner, final score or supply consumption even when all visible constants match.</w:t>
      </w:r>
    </w:p>
    <w:p>
      <w:bookmarkStart w:id="48" w:name="section_48"/>
      <w:pPr>
        <w:pStyle w:val="Heading1"/>
      </w:pPr>
      <w:r>
        <w:t>10. Rewards: currency, purchase and degradation</w:t>
      </w:r>
      <w:bookmarkEnd w:id="48"/>
    </w:p>
    <w:p>
      <w:bookmarkStart w:id="49" w:name="section_49"/>
      <w:pPr>
        <w:pStyle w:val="Heading2"/>
      </w:pPr>
      <w:r>
        <w:t>10.1 How to read the reward tables</w:t>
      </w:r>
      <w:bookmarkEnd w:id="49"/>
    </w:p>
    <w:p>
      <w:r>
        <w:t>All purchase and repair prices below are FoG tokens. The lower historical repair profile is the candidate for the 727 target; the higher profile remains comparative evidence. Jagex confirms a reduction on 3 December 2009 for most rewards, excluding gloves, but does not enumerate new prices in that announcement. Exact target transaction amounts still require 727 shop or script evidence. [S40; S07, S09, S20]</w:t>
      </w:r>
    </w:p>
    <w:p>
      <w:r>
        <w:t>Retain the old metal-gauntlet and dragonhide-coif systems in the target audit. Their shop removal and ten added skilling-glove types belong to the 2015 rework. A reward absent from a claimed 530 cache cannot be declared absent from 727 merely because the comparison file does not contain it. [S02, S39]</w:t>
      </w:r>
    </w:p>
    <w:p>
      <w:bookmarkStart w:id="50" w:name="section_50"/>
      <w:pPr>
        <w:pStyle w:val="Heading2"/>
      </w:pPr>
      <w:r>
        <w:t>10.2 Robe purchase and repair profiles</w:t>
      </w:r>
      <w:bookmarkEnd w:id="50"/>
    </w:p>
    <w:tbl>
      <w:tblPr>
        <w:tblW w:type="auto" w:w="0"/>
        <w:jc w:val="center"/>
        <w:tblLayout w:type="fixed"/>
        <w:tblLook w:firstColumn="1" w:firstRow="1" w:lastColumn="0" w:lastRow="0" w:noHBand="0" w:noVBand="1" w:val="04A0"/>
      </w:tblPr>
      <w:tblGrid>
        <w:gridCol w:w="2347"/>
        <w:gridCol w:w="2621"/>
        <w:gridCol w:w="2664"/>
        <w:gridCol w:w="2534"/>
      </w:tblGrid>
      <w:tr>
        <w:trPr>
          <w:tblHeader/>
          <w:cantSplit/>
        </w:trPr>
        <w:tc>
          <w:tcPr>
            <w:tcW w:type="dxa" w:w="234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Robe piece</w:t>
            </w:r>
          </w:p>
        </w:tc>
        <w:tc>
          <w:tcPr>
            <w:tcW w:type="dxa" w:w="2621"/>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Purchase</w:t>
            </w:r>
          </w:p>
        </w:tc>
        <w:tc>
          <w:tcPr>
            <w:tcW w:type="dxa" w:w="266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Lower repair profile</w:t>
            </w:r>
          </w:p>
        </w:tc>
        <w:tc>
          <w:tcPr>
            <w:tcW w:type="dxa" w:w="253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Early/higher report</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hood</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top</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300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bottom</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hood</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50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top</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bottom</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hood</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250 legacy; 500 shop conflict</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25</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80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top</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500</w:t>
            </w:r>
          </w:p>
        </w:tc>
      </w:tr>
      <w:tr>
        <w:trPr>
          <w:cantSplit/>
        </w:trPr>
        <w:tc>
          <w:tcPr>
            <w:tcW w:type="dxa" w:w="2347"/>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bottom</w:t>
            </w:r>
          </w:p>
        </w:tc>
        <w:tc>
          <w:tcPr>
            <w:tcW w:type="dxa" w:w="262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1,000</w:t>
            </w:r>
          </w:p>
        </w:tc>
        <w:tc>
          <w:tcPr>
            <w:tcW w:type="dxa" w:w="266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c>
          <w:tcPr>
            <w:tcW w:type="dxa" w:w="253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350</w:t>
            </w:r>
          </w:p>
        </w:tc>
      </w:tr>
    </w:tbl>
    <w:p>
      <w:pPr>
        <w:spacing w:after="60" w:before="0" w:line="240" w:lineRule="auto"/>
      </w:pPr>
      <w:r>
        <w:rPr>
          <w:sz w:val="4"/>
        </w:rPr>
      </w:r>
    </w:p>
    <w:p>
      <w:pPr>
        <w:pStyle w:val="Caption"/>
      </w:pPr>
      <w:r>
        <w:t>The source catalogue preserves both repair profiles. A dated reduction is now confirmed: 3 December 2009 [S40]. The supplied report corroborates the lower listed amounts, but its claimed cache provenance is mixed and not a verified 727 snapshot. The 500-token battle-hood entry remains a later/conflicting listing. [S07, S09, S13, S19, S20, S39]</w:t>
      </w:r>
    </w:p>
    <w:p>
      <w:r>
        <w:rPr>
          <w:b w:val="0"/>
        </w:rPr>
        <w:t xml:space="preserve">D: legacy full-set purchase totals are druidic </w:t>
      </w:r>
      <w:r>
        <w:rPr>
          <w:b/>
        </w:rPr>
        <w:t>600</w:t>
      </w:r>
      <w:r>
        <w:rPr>
          <w:b w:val="0"/>
        </w:rPr>
        <w:t xml:space="preserve">, combat </w:t>
      </w:r>
      <w:r>
        <w:rPr>
          <w:b/>
        </w:rPr>
        <w:t>300</w:t>
      </w:r>
      <w:r>
        <w:rPr>
          <w:b w:val="0"/>
        </w:rPr>
        <w:t xml:space="preserve">, battle </w:t>
      </w:r>
      <w:r>
        <w:rPr>
          <w:b/>
        </w:rPr>
        <w:t>2,750</w:t>
      </w:r>
      <w:r>
        <w:rPr>
          <w:b w:val="0"/>
        </w:rPr>
        <w:t xml:space="preserve">. Using the conflicting 500-token battle hood gives </w:t>
      </w:r>
      <w:r>
        <w:rPr>
          <w:b/>
        </w:rPr>
        <w:t>3,000</w:t>
      </w:r>
      <w:r>
        <w:rPr>
          <w:b w:val="0"/>
        </w:rPr>
        <w:t xml:space="preserve"> instead. Lower-profile full-set repair totals are </w:t>
      </w:r>
      <w:r>
        <w:rPr>
          <w:b/>
        </w:rPr>
        <w:t>60, 30 and 275</w:t>
      </w:r>
      <w:r>
        <w:rPr>
          <w:b w:val="0"/>
        </w:rPr>
        <w:t xml:space="preserve">; higher-profile totals are </w:t>
      </w:r>
      <w:r>
        <w:rPr>
          <w:b/>
        </w:rPr>
        <w:t>205, 100 and 930</w:t>
      </w:r>
      <w:r>
        <w:rPr>
          <w:b w:val="0"/>
        </w:rPr>
        <w:t>. Preserve these as profiles, not simultaneous charges for the same version.</w:t>
      </w:r>
    </w:p>
    <w:p>
      <w:r>
        <w:t>For the 727 candidate price list, retain the legacy battle hood at 250 tokens and 25 repair, flagged for target validation. The competing 500-token shop listing is later evidence, not an extra target price. A general reduction announcement does not authenticate every cell of a reconstructed shop table. [S19, S39, S40]</w:t>
      </w:r>
    </w:p>
    <w:p>
      <w:bookmarkStart w:id="51" w:name="section_51"/>
      <w:pPr>
        <w:pStyle w:val="Heading2"/>
      </w:pPr>
      <w:r>
        <w:t>10.3 Requirements and condition</w:t>
      </w:r>
      <w:bookmarkEnd w:id="51"/>
    </w:p>
    <w:tbl>
      <w:tblPr>
        <w:tblW w:type="auto" w:w="0"/>
        <w:jc w:val="center"/>
        <w:tblLayout w:type="fixed"/>
        <w:tblLook w:firstColumn="1" w:firstRow="1" w:lastColumn="0" w:lastRow="0" w:noHBand="0" w:noVBand="1" w:val="04A0"/>
      </w:tblPr>
      <w:tblGrid>
        <w:gridCol w:w="1800"/>
        <w:gridCol w:w="3614"/>
        <w:gridCol w:w="4752"/>
      </w:tblGrid>
      <w:tr>
        <w:trPr>
          <w:tblHeader/>
          <w:cantSplit/>
        </w:trPr>
        <w:tc>
          <w:tcPr>
            <w:tcW w:type="dxa" w:w="180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Set</w:t>
            </w:r>
          </w:p>
        </w:tc>
        <w:tc>
          <w:tcPr>
            <w:tcW w:type="dxa" w:w="361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Legacy requirement</w:t>
            </w:r>
          </w:p>
        </w:tc>
        <w:tc>
          <w:tcPr>
            <w:tcW w:type="dxa" w:w="475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2015 announcement</w:t>
            </w:r>
          </w:p>
        </w:tc>
      </w:tr>
      <w:tr>
        <w:trPr>
          <w:cantSplit/>
        </w:trPr>
        <w:tc>
          <w:tcPr>
            <w:tcW w:type="dxa" w:w="1800"/>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w:t>
            </w:r>
          </w:p>
        </w:tc>
        <w:tc>
          <w:tcPr>
            <w:tcW w:type="dxa" w:w="36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Magic; 10 Defence</w:t>
            </w:r>
          </w:p>
        </w:tc>
        <w:tc>
          <w:tcPr>
            <w:tcW w:type="dxa" w:w="4752"/>
            <w:vAlign w:val="center"/>
            <w:tcMar>
              <w:top w:w="70" w:type="dxa"/>
              <w:bottom w:w="70" w:type="dxa"/>
              <w:left w:w="95" w:type="dxa"/>
              <w:right w:w="95" w:type="dxa"/>
            </w:tcMar>
            <w:tcBorders>
              <w:bottom w:val="single" w:sz="3" w:color="D8E1E5"/>
            </w:tcBorders>
          </w:tcPr>
          <w:p>
            <w:pPr>
              <w:spacing w:after="0" w:before="0" w:line="245" w:lineRule="auto"/>
            </w:pPr>
            <w:r>
              <w:rPr>
                <w:b w:val="0"/>
                <w:sz w:val="20"/>
              </w:rPr>
              <w:t>35 Defence; Magic requirement removed.</w:t>
            </w:r>
          </w:p>
        </w:tc>
      </w:tr>
      <w:tr>
        <w:trPr>
          <w:cantSplit/>
        </w:trPr>
        <w:tc>
          <w:tcPr>
            <w:tcW w:type="dxa" w:w="1800"/>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w:t>
            </w:r>
          </w:p>
        </w:tc>
        <w:tc>
          <w:tcPr>
            <w:tcW w:type="dxa" w:w="36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Magic; 10 Defence</w:t>
            </w:r>
          </w:p>
        </w:tc>
        <w:tc>
          <w:tcPr>
            <w:tcW w:type="dxa" w:w="4752"/>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corresponding change established by the cited announcement.</w:t>
            </w:r>
          </w:p>
        </w:tc>
      </w:tr>
      <w:tr>
        <w:trPr>
          <w:cantSplit/>
        </w:trPr>
        <w:tc>
          <w:tcPr>
            <w:tcW w:type="dxa" w:w="1800"/>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w:t>
            </w:r>
          </w:p>
        </w:tc>
        <w:tc>
          <w:tcPr>
            <w:tcW w:type="dxa" w:w="36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60 Magic; 50 Defence; members</w:t>
            </w:r>
          </w:p>
        </w:tc>
        <w:tc>
          <w:tcPr>
            <w:tcW w:type="dxa" w:w="4752"/>
            <w:vAlign w:val="center"/>
            <w:tcMar>
              <w:top w:w="70" w:type="dxa"/>
              <w:bottom w:w="70" w:type="dxa"/>
              <w:left w:w="95" w:type="dxa"/>
              <w:right w:w="95" w:type="dxa"/>
            </w:tcMar>
            <w:tcBorders>
              <w:bottom w:val="single" w:sz="3" w:color="D8E1E5"/>
            </w:tcBorders>
          </w:tcPr>
          <w:p>
            <w:pPr>
              <w:spacing w:after="0" w:before="0" w:line="245" w:lineRule="auto"/>
            </w:pPr>
            <w:r>
              <w:rPr>
                <w:b w:val="0"/>
                <w:sz w:val="20"/>
              </w:rPr>
              <w:t>Free-to-play Magic power armour; 50 Defence; no Magic requirement.</w:t>
            </w:r>
          </w:p>
        </w:tc>
      </w:tr>
    </w:tbl>
    <w:p>
      <w:pPr>
        <w:spacing w:after="60" w:before="0" w:line="240" w:lineRule="auto"/>
      </w:pPr>
      <w:r>
        <w:rPr>
          <w:sz w:val="4"/>
        </w:rPr>
      </w:r>
    </w:p>
    <w:p>
      <w:pPr>
        <w:pStyle w:val="Caption"/>
      </w:pPr>
      <w:r>
        <w:rPr>
          <w:b w:val="0"/>
        </w:rPr>
        <w:t>Legacy requirements: [S09, S13, S21-S23]. Dated changes: [S02]. Do not treat an inconsistent item-page requirement as stronger than the original update.</w:t>
      </w:r>
    </w:p>
    <w:p>
      <w:r>
        <w:t>Condition labels 100/80/60/40/20/0 do not reveal the lifetime counter. Battle robes have a six-combat-hour report, while the supplied file asserts five hours for robes, coifs and shields and identical bonuses in all charged states. Keep lifetime, depletion triggers and per-state stats separate. The historical manual describes reduced stats when empty, not a blanket proof that every zero-state bonus is zero. [S10, S22-S25, S39 section 7.5]</w:t>
      </w:r>
    </w:p>
    <w:p>
      <w:bookmarkStart w:id="52" w:name="section_52"/>
      <w:pPr>
        <w:pStyle w:val="Heading1"/>
      </w:pPr>
      <w:r>
        <w:t>11. Reward effects: runes, binding and hybrid armour</w:t>
      </w:r>
      <w:bookmarkEnd w:id="52"/>
    </w:p>
    <w:p>
      <w:bookmarkStart w:id="53" w:name="section_53"/>
      <w:pPr>
        <w:pStyle w:val="Heading2"/>
      </w:pPr>
      <w:r>
        <w:t>11.1 Combat robes</w:t>
      </w:r>
      <w:bookmarkEnd w:id="53"/>
    </w:p>
    <w:p>
      <w:r>
        <w:t>The legacy combat-robe entry gives a 7.5% full-set proc on eligible mind/chaos/death/blood runes. The supplied report instead gives 5% and broadens the effect to any catalytic rune. Both probability and eligible rune set therefore remain contested for 727. Its reported blastbox interaction and ambiguous 100-uses wording also need verification rather than silent defaults. [S21, S39 section 7.4]</w:t>
      </w:r>
    </w:p>
    <w:p>
      <w:r>
        <w:rPr>
          <w:b w:val="0"/>
        </w:rPr>
        <w:t xml:space="preserve">D: under an independent 7.5% proc model, 1,000 eligible spell opportunities produce an expectation of </w:t>
      </w:r>
      <w:r>
        <w:rPr>
          <w:b/>
        </w:rPr>
        <w:t>75 procs</w:t>
      </w:r>
      <w:r>
        <w:rPr>
          <w:b w:val="0"/>
        </w:rPr>
        <w:t>, not a promise of 75 procs and not necessarily 75 complete rune recipes saved. Required proc independence and exact saved quantities are separate assumptions.</w:t>
      </w:r>
    </w:p>
    <w:p>
      <w:bookmarkStart w:id="54" w:name="section_54"/>
      <w:pPr>
        <w:pStyle w:val="Heading2"/>
      </w:pPr>
      <w:r>
        <w:t>11.2 Battle robes and Staff of light</w:t>
      </w:r>
      <w:bookmarkEnd w:id="54"/>
    </w:p>
    <w:p>
      <w:r>
        <w:rPr>
          <w:b w:val="0"/>
        </w:rPr>
        <w:t xml:space="preserve">The legacy battle-robe page reports a </w:t>
      </w:r>
      <w:r>
        <w:rPr>
          <w:b/>
        </w:rPr>
        <w:t>114-cast test giving roughly 15%</w:t>
      </w:r>
      <w:r>
        <w:rPr>
          <w:b w:val="0"/>
        </w:rPr>
        <w:t xml:space="preserve">, alongside a </w:t>
      </w:r>
      <w:r>
        <w:rPr>
          <w:b/>
        </w:rPr>
        <w:t>20%</w:t>
      </w:r>
      <w:r>
        <w:rPr>
          <w:b w:val="0"/>
        </w:rPr>
        <w:t xml:space="preserve"> claim attributed there to Jagex without a recovered original confirmation. Treat 20% as a reported historical value, not independently verified official probability. The saving can concern one eligible catalytic rune type rather than every ingredient. [S22]</w:t>
      </w:r>
    </w:p>
    <w:p>
      <w:r>
        <w:rPr>
          <w:b w:val="0"/>
        </w:rPr>
        <w:t xml:space="preserve">With the full battle set, the Staff of light interaction is described as increasing its rune-saving activation from </w:t>
      </w:r>
      <w:r>
        <w:rPr>
          <w:b/>
        </w:rPr>
        <w:t>12.5% to 50%</w:t>
      </w:r>
      <w:r>
        <w:rPr>
          <w:b w:val="0"/>
        </w:rPr>
        <w:t xml:space="preserve">, while the robes retain their own effect; the item-specific RuneHQ page corroborates the 50% interaction. The set is reported to last </w:t>
      </w:r>
      <w:r>
        <w:rPr>
          <w:b/>
        </w:rPr>
        <w:t>six combat hours</w:t>
      </w:r>
      <w:r>
        <w:rPr>
          <w:b w:val="0"/>
        </w:rPr>
        <w:t xml:space="preserve"> when fully charged. [S22, S24]</w:t>
      </w:r>
    </w:p>
    <w:p>
      <w:r>
        <w:rPr>
          <w:b w:val="0"/>
        </w:rPr>
        <w:t xml:space="preserve">Do not simply add 20% and 50% to obtain 70%. D: if two independent all-or-nothing events really had probabilities .20 and .50, the probability of at least one would be 1-(.80 x .50) = </w:t>
      </w:r>
      <w:r>
        <w:rPr>
          <w:b/>
        </w:rPr>
        <w:t>60%</w:t>
      </w:r>
      <w:r>
        <w:rPr>
          <w:b w:val="0"/>
        </w:rPr>
        <w:t>. That is probability arithmetic, not proof of RuneScape's event order, overlap or rune quantities.</w:t>
      </w:r>
    </w:p>
    <w:p>
      <w:bookmarkStart w:id="55" w:name="section_55"/>
      <w:pPr>
        <w:pStyle w:val="Heading2"/>
      </w:pPr>
      <w:r>
        <w:t>11.3 Druidic robes</w:t>
      </w:r>
      <w:bookmarkEnd w:id="55"/>
    </w:p>
    <w:p>
      <w:r>
        <w:t>Druidic robes are described as improving binding-spell accuracy rather than duration. The supplied report adds an approximately 4.5% figure without establishing an original equation or whether that means relative chance, percentage points, an attack-roll modifier or another quantity. Do not hard-code 1.045 or +0.045 from that wording. The approximate 3,500-cast depletion estimate is a separate claim. [S23, S39 section 7.4]</w:t>
      </w:r>
    </w:p>
    <w:p>
      <w:bookmarkStart w:id="56" w:name="section_56"/>
      <w:pPr>
        <w:pStyle w:val="Heading2"/>
      </w:pPr>
      <w:r>
        <w:t>11.4 Hybrid gloves</w:t>
      </w:r>
      <w:bookmarkEnd w:id="56"/>
    </w:p>
    <w:tbl>
      <w:tblPr>
        <w:tblW w:type="auto" w:w="0"/>
        <w:jc w:val="center"/>
        <w:tblLayout w:type="fixed"/>
        <w:tblLook w:firstColumn="1" w:firstRow="1" w:lastColumn="0" w:lastRow="0" w:noHBand="0" w:noVBand="1" w:val="04A0"/>
      </w:tblPr>
      <w:tblGrid>
        <w:gridCol w:w="1944"/>
        <w:gridCol w:w="5256"/>
        <w:gridCol w:w="2966"/>
      </w:tblGrid>
      <w:tr>
        <w:trPr>
          <w:tblHeader/>
          <w:cantSplit/>
        </w:trPr>
        <w:tc>
          <w:tcPr>
            <w:tcW w:type="dxa" w:w="194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Glove</w:t>
            </w:r>
          </w:p>
        </w:tc>
        <w:tc>
          <w:tcPr>
            <w:tcW w:type="dxa" w:w="525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Requirements</w:t>
            </w:r>
          </w:p>
        </w:tc>
        <w:tc>
          <w:tcPr>
            <w:tcW w:type="dxa" w:w="296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727 treatment</w:t>
            </w:r>
          </w:p>
        </w:tc>
      </w:tr>
      <w:tr>
        <w:trPr>
          <w:cantSplit/>
        </w:trPr>
        <w:tc>
          <w:tcPr>
            <w:tcW w:type="dxa" w:w="19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Battle-mage</w:t>
            </w:r>
          </w:p>
        </w:tc>
        <w:tc>
          <w:tcPr>
            <w:tcW w:type="dxa" w:w="5256"/>
            <w:vAlign w:val="center"/>
            <w:tcMar>
              <w:top w:w="70" w:type="dxa"/>
              <w:bottom w:w="70" w:type="dxa"/>
              <w:left w:w="95" w:type="dxa"/>
              <w:right w:w="95" w:type="dxa"/>
            </w:tcMar>
            <w:tcBorders>
              <w:bottom w:val="single" w:sz="3" w:color="D8E1E5"/>
            </w:tcBorders>
          </w:tcPr>
          <w:p>
            <w:pPr>
              <w:spacing w:after="0" w:before="0" w:line="245" w:lineRule="auto"/>
            </w:pPr>
            <w:r>
              <w:rPr>
                <w:b w:val="0"/>
                <w:sz w:val="20"/>
              </w:rPr>
              <w:t>85 Defence, 85 Magic, 85 Strength</w:t>
            </w:r>
          </w:p>
        </w:tc>
        <w:tc>
          <w:tcPr>
            <w:tcW w:type="dxa" w:w="296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Chance-based reward; no thaler purchase</w:t>
            </w:r>
          </w:p>
        </w:tc>
      </w:tr>
      <w:tr>
        <w:trPr>
          <w:cantSplit/>
        </w:trPr>
        <w:tc>
          <w:tcPr>
            <w:tcW w:type="dxa" w:w="19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Trickster</w:t>
            </w:r>
          </w:p>
        </w:tc>
        <w:tc>
          <w:tcPr>
            <w:tcW w:type="dxa" w:w="5256"/>
            <w:vAlign w:val="center"/>
            <w:tcMar>
              <w:top w:w="70" w:type="dxa"/>
              <w:bottom w:w="70" w:type="dxa"/>
              <w:left w:w="95" w:type="dxa"/>
              <w:right w:w="95" w:type="dxa"/>
            </w:tcMar>
            <w:tcBorders>
              <w:bottom w:val="single" w:sz="3" w:color="D8E1E5"/>
            </w:tcBorders>
          </w:tcPr>
          <w:p>
            <w:pPr>
              <w:spacing w:after="0" w:before="0" w:line="245" w:lineRule="auto"/>
            </w:pPr>
            <w:r>
              <w:rPr>
                <w:b w:val="0"/>
                <w:sz w:val="20"/>
              </w:rPr>
              <w:t>85 Defence, 85 Magic, 85 Ranged</w:t>
            </w:r>
          </w:p>
        </w:tc>
        <w:tc>
          <w:tcPr>
            <w:tcW w:type="dxa" w:w="296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Chance-based reward; no thaler purchase</w:t>
            </w:r>
          </w:p>
        </w:tc>
      </w:tr>
      <w:tr>
        <w:trPr>
          <w:cantSplit/>
        </w:trPr>
        <w:tc>
          <w:tcPr>
            <w:tcW w:type="dxa" w:w="1944"/>
            <w:vAlign w:val="center"/>
            <w:tcMar>
              <w:top w:w="70" w:type="dxa"/>
              <w:bottom w:w="70" w:type="dxa"/>
              <w:left w:w="95" w:type="dxa"/>
              <w:right w:w="95" w:type="dxa"/>
            </w:tcMar>
            <w:tcBorders>
              <w:bottom w:val="single" w:sz="3" w:color="D8E1E5"/>
            </w:tcBorders>
          </w:tcPr>
          <w:p>
            <w:pPr>
              <w:spacing w:after="0" w:before="0" w:line="245" w:lineRule="auto"/>
            </w:pPr>
            <w:r>
              <w:rPr>
                <w:b w:val="0"/>
                <w:sz w:val="20"/>
              </w:rPr>
              <w:t>Vanguard</w:t>
            </w:r>
          </w:p>
        </w:tc>
        <w:tc>
          <w:tcPr>
            <w:tcW w:type="dxa" w:w="5256"/>
            <w:vAlign w:val="center"/>
            <w:tcMar>
              <w:top w:w="70" w:type="dxa"/>
              <w:bottom w:w="70" w:type="dxa"/>
              <w:left w:w="95" w:type="dxa"/>
              <w:right w:w="95" w:type="dxa"/>
            </w:tcMar>
            <w:tcBorders>
              <w:bottom w:val="single" w:sz="3" w:color="D8E1E5"/>
            </w:tcBorders>
          </w:tcPr>
          <w:p>
            <w:pPr>
              <w:spacing w:after="0" w:before="0" w:line="245" w:lineRule="auto"/>
            </w:pPr>
            <w:r>
              <w:rPr>
                <w:b w:val="0"/>
                <w:sz w:val="20"/>
              </w:rPr>
              <w:t>85 Defence, 85 Strength, 85 Ranged</w:t>
            </w:r>
          </w:p>
        </w:tc>
        <w:tc>
          <w:tcPr>
            <w:tcW w:type="dxa" w:w="296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Chance-based reward; no thaler purchase</w:t>
            </w:r>
          </w:p>
        </w:tc>
      </w:tr>
    </w:tbl>
    <w:p>
      <w:pPr>
        <w:spacing w:after="60" w:before="0" w:line="240" w:lineRule="auto"/>
      </w:pPr>
      <w:r>
        <w:rPr>
          <w:sz w:val="4"/>
        </w:rPr>
      </w:r>
    </w:p>
    <w:p>
      <w:pPr>
        <w:pStyle w:val="Caption"/>
      </w:pPr>
      <w:r>
        <w:t>Hybrid armour was introduced on 23 August 2011, so it belongs in the July 2012 audit. Requirements are documentary legacy candidates; the 700-thaler alternative is excluded. [S03, S31-S34]</w:t>
      </w:r>
    </w:p>
    <w:p>
      <w:r>
        <w:rPr>
          <w:b w:val="0"/>
        </w:rPr>
        <w:t xml:space="preserve">The FoG acquisition is chance-based. Community descriptions place eligibility around </w:t>
      </w:r>
      <w:r>
        <w:rPr>
          <w:b/>
        </w:rPr>
        <w:t>150 wins</w:t>
      </w:r>
      <w:r>
        <w:rPr>
          <w:b w:val="0"/>
        </w:rPr>
        <w:t>, with chance increasing through participation; that is not a guaranteed reward on win 150 and not a 1/150 drop rate. No exact unlock/chance function is recovered. [S06, S31]</w:t>
      </w:r>
    </w:p>
    <w:p>
      <w:r>
        <w:rPr>
          <w:b w:val="0"/>
        </w:rPr>
        <w:t xml:space="preserve">Each hybrid piece is described as providing </w:t>
      </w:r>
      <w:r>
        <w:rPr>
          <w:b/>
        </w:rPr>
        <w:t>3% extra damage</w:t>
      </w:r>
      <w:r>
        <w:rPr>
          <w:b w:val="0"/>
        </w:rPr>
        <w:t xml:space="preserve">, up to </w:t>
      </w:r>
      <w:r>
        <w:rPr>
          <w:b/>
        </w:rPr>
        <w:t>15% for five pieces</w:t>
      </w:r>
      <w:r>
        <w:rPr>
          <w:b w:val="0"/>
        </w:rPr>
        <w:t>, in Castle Wars, Fist of Guthix, Soul Wars and TzHaar Fight Pits. The original announcement explicitly restricts statistical benefits outside the intended PvP minigames. These gloves are not ordinary token-shop purchases. [S03, S31-S34]</w:t>
      </w:r>
    </w:p>
    <w:p>
      <w:r>
        <w:t>Do not use later armour-rating fields such as 108 or 194 as pre-EoC equipment bonuses. Confirm the 727 item parameters, damage effect, eligible minigames and acquisition logic separately. The supplied January 2010 file properly excludes hybrid gloves for its own date, but that exclusion does not carry forward to 727. [S03, S31-S34, S39]</w:t>
      </w:r>
    </w:p>
    <w:p>
      <w:bookmarkStart w:id="57" w:name="section_57"/>
      <w:pPr>
        <w:pStyle w:val="Heading1"/>
      </w:pPr>
      <w:r>
        <w:t>12. Skill-glove catalogue and exact consumption units</w:t>
      </w:r>
      <w:bookmarkEnd w:id="57"/>
    </w:p>
    <w:p>
      <w:bookmarkStart w:id="58" w:name="section_58"/>
      <w:pPr>
        <w:pStyle w:val="Heading2"/>
      </w:pPr>
      <w:r>
        <w:t>12.1 Runecrafting gloves</w:t>
      </w:r>
      <w:bookmarkEnd w:id="58"/>
    </w:p>
    <w:tbl>
      <w:tblPr>
        <w:tblW w:type="auto" w:w="0"/>
        <w:jc w:val="center"/>
        <w:tblLayout w:type="fixed"/>
        <w:tblLook w:firstColumn="1" w:firstRow="1" w:lastColumn="0" w:lastRow="0" w:noHBand="0" w:noVBand="1" w:val="04A0"/>
      </w:tblPr>
      <w:tblGrid>
        <w:gridCol w:w="1584"/>
        <w:gridCol w:w="1670"/>
        <w:gridCol w:w="1310"/>
        <w:gridCol w:w="5602"/>
      </w:tblGrid>
      <w:tr>
        <w:trPr>
          <w:tblHeader/>
          <w:cantSplit/>
        </w:trPr>
        <w:tc>
          <w:tcPr>
            <w:tcW w:type="dxa" w:w="158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Gloves</w:t>
            </w:r>
          </w:p>
        </w:tc>
        <w:tc>
          <w:tcPr>
            <w:tcW w:type="dxa" w:w="1670"/>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Required RC</w:t>
            </w:r>
          </w:p>
        </w:tc>
        <w:tc>
          <w:tcPr>
            <w:tcW w:type="dxa" w:w="1310"/>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Tokens</w:t>
            </w:r>
          </w:p>
        </w:tc>
        <w:tc>
          <w:tcPr>
            <w:tcW w:type="dxa" w:w="560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Effect / lifetime</w:t>
            </w:r>
          </w:p>
        </w:tc>
      </w:tr>
      <w:tr>
        <w:trPr>
          <w:cantSplit/>
        </w:trPr>
        <w:tc>
          <w:tcPr>
            <w:tcW w:type="dxa" w:w="1584"/>
            <w:vAlign w:val="center"/>
            <w:tcMar>
              <w:top w:w="70" w:type="dxa"/>
              <w:bottom w:w="70" w:type="dxa"/>
              <w:left w:w="95" w:type="dxa"/>
              <w:right w:w="95" w:type="dxa"/>
            </w:tcMar>
            <w:tcBorders>
              <w:bottom w:val="single" w:sz="3" w:color="D8E1E5"/>
            </w:tcBorders>
          </w:tcPr>
          <w:p>
            <w:pPr>
              <w:spacing w:after="0" w:before="0" w:line="245" w:lineRule="auto"/>
            </w:pPr>
            <w:r>
              <w:rPr>
                <w:b w:val="0"/>
                <w:sz w:val="20"/>
              </w:rPr>
              <w:t>Air</w:t>
            </w:r>
          </w:p>
        </w:tc>
        <w:tc>
          <w:tcPr>
            <w:tcW w:type="dxa" w:w="167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13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75</w:t>
            </w:r>
          </w:p>
        </w:tc>
        <w:tc>
          <w:tcPr>
            <w:tcW w:type="dxa" w:w="56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Double matching XP; 1,000 essence.</w:t>
            </w:r>
          </w:p>
        </w:tc>
      </w:tr>
      <w:tr>
        <w:trPr>
          <w:cantSplit/>
        </w:trPr>
        <w:tc>
          <w:tcPr>
            <w:tcW w:type="dxa" w:w="1584"/>
            <w:vAlign w:val="center"/>
            <w:tcMar>
              <w:top w:w="70" w:type="dxa"/>
              <w:bottom w:w="70" w:type="dxa"/>
              <w:left w:w="95" w:type="dxa"/>
              <w:right w:w="95" w:type="dxa"/>
            </w:tcMar>
            <w:tcBorders>
              <w:bottom w:val="single" w:sz="3" w:color="D8E1E5"/>
            </w:tcBorders>
          </w:tcPr>
          <w:p>
            <w:pPr>
              <w:spacing w:after="0" w:before="0" w:line="245" w:lineRule="auto"/>
            </w:pPr>
            <w:r>
              <w:rPr>
                <w:b w:val="0"/>
                <w:sz w:val="20"/>
              </w:rPr>
              <w:t>Water</w:t>
            </w:r>
          </w:p>
        </w:tc>
        <w:tc>
          <w:tcPr>
            <w:tcW w:type="dxa" w:w="167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w:t>
            </w:r>
          </w:p>
        </w:tc>
        <w:tc>
          <w:tcPr>
            <w:tcW w:type="dxa" w:w="13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75</w:t>
            </w:r>
          </w:p>
        </w:tc>
        <w:tc>
          <w:tcPr>
            <w:tcW w:type="dxa" w:w="56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Double matching XP; 1,000 essence.</w:t>
            </w:r>
          </w:p>
        </w:tc>
      </w:tr>
      <w:tr>
        <w:trPr>
          <w:cantSplit/>
        </w:trPr>
        <w:tc>
          <w:tcPr>
            <w:tcW w:type="dxa" w:w="1584"/>
            <w:vAlign w:val="center"/>
            <w:tcMar>
              <w:top w:w="70" w:type="dxa"/>
              <w:bottom w:w="70" w:type="dxa"/>
              <w:left w:w="95" w:type="dxa"/>
              <w:right w:w="95" w:type="dxa"/>
            </w:tcMar>
            <w:tcBorders>
              <w:bottom w:val="single" w:sz="3" w:color="D8E1E5"/>
            </w:tcBorders>
          </w:tcPr>
          <w:p>
            <w:pPr>
              <w:spacing w:after="0" w:before="0" w:line="245" w:lineRule="auto"/>
            </w:pPr>
            <w:r>
              <w:rPr>
                <w:b w:val="0"/>
                <w:sz w:val="20"/>
              </w:rPr>
              <w:t>Earth</w:t>
            </w:r>
          </w:p>
        </w:tc>
        <w:tc>
          <w:tcPr>
            <w:tcW w:type="dxa" w:w="167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w:t>
            </w:r>
          </w:p>
        </w:tc>
        <w:tc>
          <w:tcPr>
            <w:tcW w:type="dxa" w:w="13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75</w:t>
            </w:r>
          </w:p>
        </w:tc>
        <w:tc>
          <w:tcPr>
            <w:tcW w:type="dxa" w:w="56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Double matching XP; 1,000 essence.</w:t>
            </w:r>
          </w:p>
        </w:tc>
      </w:tr>
    </w:tbl>
    <w:p>
      <w:pPr>
        <w:spacing w:after="60" w:before="0" w:line="240" w:lineRule="auto"/>
      </w:pPr>
      <w:r>
        <w:rPr>
          <w:sz w:val="4"/>
        </w:rPr>
      </w:r>
    </w:p>
    <w:p>
      <w:pPr>
        <w:pStyle w:val="Caption"/>
      </w:pPr>
      <w:r>
        <w:t>Target catalogue: air, water and earth gloves. All lifetime counts are essence consumed, not output runes. The other four types were added in 2015 and are excluded. [S07, S09; S02 exclusion]</w:t>
      </w:r>
    </w:p>
    <w:p>
      <w:r>
        <w:rPr>
          <w:b w:val="0"/>
        </w:rPr>
        <w:t>Multiple runes crafted from one essence do not turn a 1,000-essence lifetime into a 1,000-rune lifetime. Under the stated model, a batch consuming 28 essence uses 28 glove charges even if it creates more than 28 runes. Whether a later alternative crafting method or unusual essence type qualifies needs its own version-specific check.</w:t>
      </w:r>
    </w:p>
    <w:p>
      <w:r>
        <w:rPr>
          <w:b w:val="0"/>
        </w:rPr>
        <w:t xml:space="preserve">The older air/water/earth table gives base XP of </w:t>
      </w:r>
      <w:r>
        <w:rPr>
          <w:b/>
        </w:rPr>
        <w:t>5, 6 and 6.5</w:t>
      </w:r>
      <w:r>
        <w:rPr>
          <w:b w:val="0"/>
        </w:rPr>
        <w:t xml:space="preserve">, doubled to </w:t>
      </w:r>
      <w:r>
        <w:rPr>
          <w:b/>
        </w:rPr>
        <w:t>10, 12 and 13</w:t>
      </w:r>
      <w:r>
        <w:rPr>
          <w:b w:val="0"/>
        </w:rPr>
        <w:t xml:space="preserve"> per matching essence. D: full-pair incremental XP is therefore </w:t>
      </w:r>
      <w:r>
        <w:rPr>
          <w:b/>
        </w:rPr>
        <w:t>5,000, 6,000 or 6,500</w:t>
      </w:r>
      <w:r>
        <w:rPr>
          <w:b w:val="0"/>
        </w:rPr>
        <w:t>, before other modifiers. Do not infer stacking order with unrelated modern XP systems from the word "double". [S08; D]</w:t>
      </w:r>
    </w:p>
    <w:p>
      <w:bookmarkStart w:id="59" w:name="section_59"/>
      <w:pPr>
        <w:pStyle w:val="Heading2"/>
      </w:pPr>
      <w:r>
        <w:t>12.2 Fishing gloves</w:t>
      </w:r>
      <w:bookmarkEnd w:id="59"/>
    </w:p>
    <w:tbl>
      <w:tblPr>
        <w:tblW w:type="auto" w:w="0"/>
        <w:jc w:val="center"/>
        <w:tblLayout w:type="fixed"/>
        <w:tblLook w:firstColumn="1" w:firstRow="1" w:lastColumn="0" w:lastRow="0" w:noHBand="0" w:noVBand="1" w:val="04A0"/>
      </w:tblPr>
      <w:tblGrid>
        <w:gridCol w:w="1872"/>
        <w:gridCol w:w="1310"/>
        <w:gridCol w:w="1181"/>
        <w:gridCol w:w="2174"/>
        <w:gridCol w:w="3629"/>
      </w:tblGrid>
      <w:tr>
        <w:trPr>
          <w:tblHeader/>
          <w:cantSplit/>
        </w:trPr>
        <w:tc>
          <w:tcPr>
            <w:tcW w:type="dxa" w:w="187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Gloves</w:t>
            </w:r>
          </w:p>
        </w:tc>
        <w:tc>
          <w:tcPr>
            <w:tcW w:type="dxa" w:w="1310"/>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Fishing</w:t>
            </w:r>
          </w:p>
        </w:tc>
        <w:tc>
          <w:tcPr>
            <w:tcW w:type="dxa" w:w="1181"/>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Tokens</w:t>
            </w:r>
          </w:p>
        </w:tc>
        <w:tc>
          <w:tcPr>
            <w:tcW w:type="dxa" w:w="217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Bonus / fish</w:t>
            </w:r>
          </w:p>
        </w:tc>
        <w:tc>
          <w:tcPr>
            <w:tcW w:type="dxa" w:w="362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Lifetime bonus</w:t>
            </w:r>
          </w:p>
        </w:tc>
      </w:tr>
      <w:tr>
        <w:trPr>
          <w:cantSplit/>
        </w:trPr>
        <w:tc>
          <w:tcPr>
            <w:tcW w:type="dxa" w:w="18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Swordfish</w:t>
            </w:r>
          </w:p>
        </w:tc>
        <w:tc>
          <w:tcPr>
            <w:tcW w:type="dxa" w:w="13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65</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21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XP</w:t>
            </w:r>
          </w:p>
        </w:tc>
        <w:tc>
          <w:tcPr>
            <w:tcW w:type="dxa" w:w="36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100,000 XP</w:t>
            </w:r>
          </w:p>
        </w:tc>
      </w:tr>
      <w:tr>
        <w:trPr>
          <w:cantSplit/>
        </w:trPr>
        <w:tc>
          <w:tcPr>
            <w:tcW w:type="dxa" w:w="1872"/>
            <w:vAlign w:val="center"/>
            <w:tcMar>
              <w:top w:w="70" w:type="dxa"/>
              <w:bottom w:w="70" w:type="dxa"/>
              <w:left w:w="95" w:type="dxa"/>
              <w:right w:w="95" w:type="dxa"/>
            </w:tcMar>
            <w:tcBorders>
              <w:bottom w:val="single" w:sz="3" w:color="D8E1E5"/>
            </w:tcBorders>
          </w:tcPr>
          <w:p>
            <w:pPr>
              <w:spacing w:after="0" w:before="0" w:line="245" w:lineRule="auto"/>
            </w:pPr>
            <w:r>
              <w:rPr>
                <w:b w:val="0"/>
                <w:sz w:val="20"/>
              </w:rPr>
              <w:t>Shark</w:t>
            </w:r>
          </w:p>
        </w:tc>
        <w:tc>
          <w:tcPr>
            <w:tcW w:type="dxa" w:w="13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90</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2174"/>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XP</w:t>
            </w:r>
          </w:p>
        </w:tc>
        <w:tc>
          <w:tcPr>
            <w:tcW w:type="dxa" w:w="362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100,000 XP</w:t>
            </w:r>
          </w:p>
        </w:tc>
      </w:tr>
    </w:tbl>
    <w:p>
      <w:pPr>
        <w:spacing w:after="60" w:before="0" w:line="240" w:lineRule="auto"/>
      </w:pPr>
      <w:r>
        <w:rPr>
          <w:sz w:val="4"/>
        </w:rPr>
      </w:r>
    </w:p>
    <w:p>
      <w:pPr>
        <w:pStyle w:val="Caption"/>
      </w:pPr>
      <w:r>
        <w:t>Target catalogue: swordfish and shark gloves; 1,000 matching catches. Last column is D: 100 bonus XP x 1,000. [S07, S09]</w:t>
      </w:r>
    </w:p>
    <w:p>
      <w:r>
        <w:t>The bonus is a flat 100 additional Fishing XP for the matching fish, not a catch-chance multiplier. Count matching catches, and validate interactions with multiple-fish events, other XP modifiers and pre-existing glove charges. The 2015 monkfish/cavefish/rocktail items and their metadata are excluded. [S07, S09; S02 exclusion]</w:t>
      </w:r>
    </w:p>
    <w:p>
      <w:bookmarkStart w:id="60" w:name="section_60"/>
      <w:pPr>
        <w:pStyle w:val="Heading2"/>
      </w:pPr>
      <w:r>
        <w:t>12.3 Herb gloves</w:t>
      </w:r>
      <w:bookmarkEnd w:id="60"/>
    </w:p>
    <w:tbl>
      <w:tblPr>
        <w:tblW w:type="auto" w:w="0"/>
        <w:jc w:val="center"/>
        <w:tblLayout w:type="fixed"/>
        <w:tblLook w:firstColumn="1" w:firstRow="1" w:lastColumn="0" w:lastRow="0" w:noHBand="0" w:noVBand="1" w:val="04A0"/>
      </w:tblPr>
      <w:tblGrid>
        <w:gridCol w:w="2002"/>
        <w:gridCol w:w="1584"/>
        <w:gridCol w:w="1282"/>
        <w:gridCol w:w="5299"/>
      </w:tblGrid>
      <w:tr>
        <w:trPr>
          <w:tblHeader/>
          <w:cantSplit/>
        </w:trPr>
        <w:tc>
          <w:tcPr>
            <w:tcW w:type="dxa" w:w="200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Gloves</w:t>
            </w:r>
          </w:p>
        </w:tc>
        <w:tc>
          <w:tcPr>
            <w:tcW w:type="dxa" w:w="158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Herblore</w:t>
            </w:r>
          </w:p>
        </w:tc>
        <w:tc>
          <w:tcPr>
            <w:tcW w:type="dxa" w:w="1282"/>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Tokens</w:t>
            </w:r>
          </w:p>
        </w:tc>
        <w:tc>
          <w:tcPr>
            <w:tcW w:type="dxa" w:w="529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Lifetime</w:t>
            </w:r>
          </w:p>
        </w:tc>
      </w:tr>
      <w:tr>
        <w:trPr>
          <w:cantSplit/>
        </w:trPr>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Irit</w:t>
            </w:r>
          </w:p>
        </w:tc>
        <w:tc>
          <w:tcPr>
            <w:tcW w:type="dxa" w:w="158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c>
          <w:tcPr>
            <w:tcW w:type="dxa" w:w="128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75</w:t>
            </w:r>
          </w:p>
        </w:tc>
        <w:tc>
          <w:tcPr>
            <w:tcW w:type="dxa" w:w="529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matching herb drops</w:t>
            </w:r>
          </w:p>
        </w:tc>
      </w:tr>
      <w:tr>
        <w:trPr>
          <w:cantSplit/>
        </w:trPr>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Avantoe</w:t>
            </w:r>
          </w:p>
        </w:tc>
        <w:tc>
          <w:tcPr>
            <w:tcW w:type="dxa" w:w="158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60</w:t>
            </w:r>
          </w:p>
        </w:tc>
        <w:tc>
          <w:tcPr>
            <w:tcW w:type="dxa" w:w="128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c>
          <w:tcPr>
            <w:tcW w:type="dxa" w:w="529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matching herb drops</w:t>
            </w:r>
          </w:p>
        </w:tc>
      </w:tr>
      <w:tr>
        <w:trPr>
          <w:cantSplit/>
        </w:trPr>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Kwuarm</w:t>
            </w:r>
          </w:p>
        </w:tc>
        <w:tc>
          <w:tcPr>
            <w:tcW w:type="dxa" w:w="158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70</w:t>
            </w:r>
          </w:p>
        </w:tc>
        <w:tc>
          <w:tcPr>
            <w:tcW w:type="dxa" w:w="128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529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matching herb drops</w:t>
            </w:r>
          </w:p>
        </w:tc>
      </w:tr>
      <w:tr>
        <w:trPr>
          <w:cantSplit/>
        </w:trPr>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Cadantine</w:t>
            </w:r>
          </w:p>
        </w:tc>
        <w:tc>
          <w:tcPr>
            <w:tcW w:type="dxa" w:w="158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80</w:t>
            </w:r>
          </w:p>
        </w:tc>
        <w:tc>
          <w:tcPr>
            <w:tcW w:type="dxa" w:w="128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529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100 matching herb drops</w:t>
            </w:r>
          </w:p>
        </w:tc>
      </w:tr>
    </w:tbl>
    <w:p>
      <w:pPr>
        <w:spacing w:after="60" w:before="0" w:line="240" w:lineRule="auto"/>
      </w:pPr>
      <w:r>
        <w:rPr>
          <w:sz w:val="4"/>
        </w:rPr>
      </w:r>
    </w:p>
    <w:p>
      <w:pPr>
        <w:pStyle w:val="Caption"/>
      </w:pPr>
      <w:r>
        <w:t>Target catalogue: irit, avantoe, kwuarm and cadantine. The later three additions are excluded. [S07, S09, S20; S02 exclusion]</w:t>
      </w:r>
    </w:p>
    <w:p>
      <w:r>
        <w:t>The 50% effect operates on an eligible herb drop, not every monster kill. The historical manual gives a 100-drop lifetime but leaves counting subtleties; the later wording specifies the herb type in question. Do not treat the later phrasing as proof of the exact 727 decrement predicate. Fixed-herb monsters such as fever spiders are excluded by the old manual. [S10, S20; S02 comparison]</w:t>
      </w:r>
    </w:p>
    <w:p>
      <w:r>
        <w:rPr>
          <w:b w:val="0"/>
        </w:rPr>
        <w:t xml:space="preserve">D: under a simple substitution model, let h be the chance of an eligible herb roll and q the baseline share of that roll producing the target herb. If the glove independently forces the target on half of rolls, the overall target chance is </w:t>
      </w:r>
      <w:r>
        <w:rPr>
          <w:b/>
        </w:rPr>
        <w:t>h x (0.5 + 0.5q)</w:t>
      </w:r>
      <w:r>
        <w:rPr>
          <w:b w:val="0"/>
        </w:rPr>
        <w:t>. The baseline target outcome remains possible when the force roll fails. This model is not verified for multi-herb drops, special tables or later loot systems.</w:t>
      </w:r>
    </w:p>
    <w:p>
      <w:r>
        <w:rPr>
          <w:b w:val="0"/>
        </w:rPr>
        <w:t>The wording "100 drops of the herb type" leaves important counting tests: naturally rolled target herbs versus forced ones, multiple herbs in one loot event and noted variants. A charge counter should not silently consume one per kill regardless of drop.</w:t>
      </w:r>
    </w:p>
    <w:p>
      <w:bookmarkStart w:id="61" w:name="section_61"/>
      <w:pPr>
        <w:pStyle w:val="Heading2"/>
      </w:pPr>
      <w:r>
        <w:t>12.4 Dragon slayer gloves</w:t>
      </w:r>
      <w:bookmarkEnd w:id="61"/>
    </w:p>
    <w:p>
      <w:r>
        <w:t>Purchase is 200 tokens; the target legacy requirement is 70 Slayer. Sources conflict on a 10% versus 15% Slayer XP benefit; later entries additionally state a 10% Attack boost and 1,000 eligible dragon kills on task. These effect details need target verification. The later reduction to 40 Slayer is excluded. [S09, S10, S26, S27; S02 exclusion]</w:t>
      </w:r>
    </w:p>
    <w:p>
      <w:r>
        <w:rPr>
          <w:b w:val="0"/>
        </w:rPr>
        <w:t xml:space="preserve">Older manual/guide descriptions instead mention a </w:t>
      </w:r>
      <w:r>
        <w:rPr>
          <w:b/>
        </w:rPr>
        <w:t>10% Slayer XP</w:t>
      </w:r>
      <w:r>
        <w:rPr>
          <w:b w:val="0"/>
        </w:rPr>
        <w:t xml:space="preserve"> bonus. Preserve that as an older/conflicting effect, not as a second simultaneous bonus. The Attack boost is not automatically a 10% increase in damage or final hit chance; the named boosted quantity and the underlying combat formula matter. [S09, S10, S26, S27]</w:t>
      </w:r>
    </w:p>
    <w:p>
      <w:pPr>
        <w:pStyle w:val="Heading1"/>
      </w:pPr>
      <w:r>
        <w:t>13. Target equipment price candidates</w:t>
      </w:r>
    </w:p>
    <w:p>
      <w:bookmarkStart w:id="63" w:name="section_63"/>
      <w:pPr>
        <w:pStyle w:val="Heading2"/>
      </w:pPr>
      <w:r>
        <w:t>13.1 Metal gauntlets</w:t>
      </w:r>
      <w:bookmarkEnd w:id="63"/>
    </w:p>
    <w:tbl>
      <w:tblPr>
        <w:tblW w:type="auto" w:w="0"/>
        <w:jc w:val="center"/>
        <w:tblLayout w:type="fixed"/>
        <w:tblLook w:firstColumn="1" w:firstRow="1" w:lastColumn="0" w:lastRow="0" w:noHBand="0" w:noVBand="1" w:val="04A0"/>
      </w:tblPr>
      <w:tblGrid>
        <w:gridCol w:w="1685"/>
        <w:gridCol w:w="1656"/>
        <w:gridCol w:w="1296"/>
        <w:gridCol w:w="1368"/>
        <w:gridCol w:w="4162"/>
      </w:tblGrid>
      <w:tr>
        <w:trPr>
          <w:tblHeader/>
          <w:cantSplit/>
        </w:trPr>
        <w:tc>
          <w:tcPr>
            <w:tcW w:type="dxa" w:w="168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Gauntlets</w:t>
            </w:r>
          </w:p>
        </w:tc>
        <w:tc>
          <w:tcPr>
            <w:tcW w:type="dxa" w:w="1656"/>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Old Defence</w:t>
            </w:r>
          </w:p>
        </w:tc>
        <w:tc>
          <w:tcPr>
            <w:tcW w:type="dxa" w:w="1296"/>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Purchase</w:t>
            </w:r>
          </w:p>
        </w:tc>
        <w:tc>
          <w:tcPr>
            <w:tcW w:type="dxa" w:w="1368"/>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Recharge</w:t>
            </w:r>
          </w:p>
        </w:tc>
        <w:tc>
          <w:tcPr>
            <w:tcW w:type="dxa" w:w="416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Reported item ID</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Bronze</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12985</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Iron</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12988</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Steel</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8</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12991</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Black</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75</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13</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12994</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Mithril</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17</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12997</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Adamant</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25</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13000</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Rune</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13003</w:t>
            </w:r>
          </w:p>
        </w:tc>
      </w:tr>
      <w:tr>
        <w:trPr>
          <w:cantSplit/>
        </w:trPr>
        <w:tc>
          <w:tcPr>
            <w:tcW w:type="dxa" w:w="1685"/>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Dragon</w:t>
            </w:r>
          </w:p>
        </w:tc>
        <w:tc>
          <w:tcPr>
            <w:tcW w:type="dxa" w:w="165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60</w:t>
            </w:r>
          </w:p>
        </w:tc>
        <w:tc>
          <w:tcPr>
            <w:tcW w:type="dxa" w:w="1296"/>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w:t>
            </w:r>
          </w:p>
        </w:tc>
        <w:tc>
          <w:tcPr>
            <w:tcW w:type="dxa" w:w="136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c>
          <w:tcPr>
            <w:tcW w:type="dxa" w:w="416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13006</w:t>
            </w:r>
          </w:p>
        </w:tc>
      </w:tr>
    </w:tbl>
    <w:p>
      <w:pPr>
        <w:spacing w:after="60" w:before="0" w:line="240" w:lineRule="auto"/>
      </w:pPr>
      <w:r>
        <w:rPr>
          <w:sz w:val="4"/>
        </w:rPr>
      </w:r>
    </w:p>
    <w:p>
      <w:pPr>
        <w:pStyle w:val="Caption"/>
      </w:pPr>
      <w:r>
        <w:t>Legacy gauntlet prices and requirements: [S07, S09, S13, S20]. The final column records older reported IDs, not a verified 727 item table. [S39]</w:t>
      </w:r>
    </w:p>
    <w:p>
      <w:r>
        <w:t>Gauntlet charge loss is described as occurring when the item is dropped on death, not simply whenever its carrier dies. An item kept on death is expressly different in the historical manual. The supplied report's broader carried-on-death rule is therefore not accepted. Gauntlet repair is also not a universal 10% of purchase: bronze is 3/15 and dragon is 50/300. [S10, S39; D]</w:t>
      </w:r>
    </w:p>
    <w:p>
      <w:bookmarkStart w:id="64" w:name="section_64"/>
      <w:pPr>
        <w:pStyle w:val="Heading2"/>
      </w:pPr>
      <w:r>
        <w:t>13.2 Dragon-leather coifs</w:t>
      </w:r>
      <w:bookmarkEnd w:id="64"/>
    </w:p>
    <w:tbl>
      <w:tblPr>
        <w:tblW w:type="auto" w:w="0"/>
        <w:jc w:val="center"/>
        <w:tblLayout w:type="fixed"/>
        <w:tblLook w:firstColumn="1" w:firstRow="1" w:lastColumn="0" w:lastRow="0" w:noHBand="0" w:noVBand="1" w:val="04A0"/>
      </w:tblPr>
      <w:tblGrid>
        <w:gridCol w:w="1714"/>
        <w:gridCol w:w="1454"/>
        <w:gridCol w:w="1987"/>
        <w:gridCol w:w="2002"/>
        <w:gridCol w:w="3010"/>
      </w:tblGrid>
      <w:tr>
        <w:trPr>
          <w:tblHeader/>
          <w:cantSplit/>
        </w:trPr>
        <w:tc>
          <w:tcPr>
            <w:tcW w:type="dxa" w:w="1714"/>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Coif</w:t>
            </w:r>
          </w:p>
        </w:tc>
        <w:tc>
          <w:tcPr>
            <w:tcW w:type="dxa" w:w="145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Purchase</w:t>
            </w:r>
          </w:p>
        </w:tc>
        <w:tc>
          <w:tcPr>
            <w:tcW w:type="dxa" w:w="198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Lower repair</w:t>
            </w:r>
          </w:p>
        </w:tc>
        <w:tc>
          <w:tcPr>
            <w:tcW w:type="dxa" w:w="200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Early repair</w:t>
            </w:r>
          </w:p>
        </w:tc>
        <w:tc>
          <w:tcPr>
            <w:tcW w:type="dxa" w:w="3010"/>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Reported item ID</w:t>
            </w:r>
          </w:p>
        </w:tc>
      </w:tr>
      <w:tr>
        <w:trPr>
          <w:cantSplit/>
        </w:trPr>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Green</w:t>
            </w:r>
          </w:p>
        </w:tc>
        <w:tc>
          <w:tcPr>
            <w:tcW w:type="dxa" w:w="145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150</w:t>
            </w:r>
          </w:p>
        </w:tc>
        <w:tc>
          <w:tcPr>
            <w:tcW w:type="dxa" w:w="19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w:t>
            </w:r>
          </w:p>
        </w:tc>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25</w:t>
            </w:r>
          </w:p>
        </w:tc>
        <w:tc>
          <w:tcPr>
            <w:tcW w:type="dxa" w:w="30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12936</w:t>
            </w:r>
          </w:p>
        </w:tc>
      </w:tr>
      <w:tr>
        <w:trPr>
          <w:cantSplit/>
        </w:trPr>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Blue</w:t>
            </w:r>
          </w:p>
        </w:tc>
        <w:tc>
          <w:tcPr>
            <w:tcW w:type="dxa" w:w="145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19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w:t>
            </w:r>
          </w:p>
        </w:tc>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35</w:t>
            </w:r>
          </w:p>
        </w:tc>
        <w:tc>
          <w:tcPr>
            <w:tcW w:type="dxa" w:w="30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12943</w:t>
            </w:r>
          </w:p>
        </w:tc>
      </w:tr>
      <w:tr>
        <w:trPr>
          <w:cantSplit/>
        </w:trPr>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Red</w:t>
            </w:r>
          </w:p>
        </w:tc>
        <w:tc>
          <w:tcPr>
            <w:tcW w:type="dxa" w:w="145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w:t>
            </w:r>
          </w:p>
        </w:tc>
        <w:tc>
          <w:tcPr>
            <w:tcW w:type="dxa" w:w="19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30</w:t>
            </w:r>
          </w:p>
        </w:tc>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50</w:t>
            </w:r>
          </w:p>
        </w:tc>
        <w:tc>
          <w:tcPr>
            <w:tcW w:type="dxa" w:w="30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12950</w:t>
            </w:r>
          </w:p>
        </w:tc>
      </w:tr>
      <w:tr>
        <w:trPr>
          <w:cantSplit/>
        </w:trPr>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Black</w:t>
            </w:r>
          </w:p>
        </w:tc>
        <w:tc>
          <w:tcPr>
            <w:tcW w:type="dxa" w:w="145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500</w:t>
            </w:r>
          </w:p>
        </w:tc>
        <w:tc>
          <w:tcPr>
            <w:tcW w:type="dxa" w:w="19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50</w:t>
            </w:r>
          </w:p>
        </w:tc>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75</w:t>
            </w:r>
          </w:p>
        </w:tc>
        <w:tc>
          <w:tcPr>
            <w:tcW w:type="dxa" w:w="30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12957</w:t>
            </w:r>
          </w:p>
        </w:tc>
      </w:tr>
      <w:tr>
        <w:trPr>
          <w:cantSplit/>
        </w:trPr>
        <w:tc>
          <w:tcPr>
            <w:tcW w:type="dxa" w:w="1714"/>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Royal</w:t>
            </w:r>
          </w:p>
        </w:tc>
        <w:tc>
          <w:tcPr>
            <w:tcW w:type="dxa" w:w="145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650</w:t>
            </w:r>
          </w:p>
        </w:tc>
        <w:tc>
          <w:tcPr>
            <w:tcW w:type="dxa" w:w="1987"/>
            <w:vAlign w:val="center"/>
            <w:tcMar>
              <w:top w:w="70" w:type="dxa"/>
              <w:bottom w:w="70" w:type="dxa"/>
              <w:left w:w="95" w:type="dxa"/>
              <w:right w:w="95" w:type="dxa"/>
            </w:tcMar>
            <w:tcBorders>
              <w:bottom w:val="single" w:sz="3" w:color="D8E1E5"/>
            </w:tcBorders>
          </w:tcPr>
          <w:p>
            <w:pPr>
              <w:spacing w:after="0" w:before="0" w:line="245" w:lineRule="auto"/>
            </w:pPr>
            <w:r>
              <w:rPr>
                <w:b w:val="0"/>
                <w:sz w:val="20"/>
              </w:rPr>
              <w:t>Unverified</w:t>
            </w:r>
          </w:p>
        </w:tc>
        <w:tc>
          <w:tcPr>
            <w:tcW w:type="dxa" w:w="20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Unverified</w:t>
            </w:r>
          </w:p>
        </w:tc>
        <w:tc>
          <w:tcPr>
            <w:tcW w:type="dxa" w:w="3010"/>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Pending 727</w:t>
            </w:r>
          </w:p>
        </w:tc>
      </w:tr>
    </w:tbl>
    <w:p>
      <w:pPr>
        <w:spacing w:after="60" w:before="0" w:line="240" w:lineRule="auto"/>
      </w:pPr>
      <w:r>
        <w:rPr>
          <w:sz w:val="4"/>
        </w:rPr>
      </w:r>
    </w:p>
    <w:p>
      <w:pPr>
        <w:pStyle w:val="Caption"/>
      </w:pPr>
      <w:r>
        <w:t>Legacy coif price and repair profiles: [S07, S09, S13, S20]; older reported IDs: [S39]. Royal coif is retained as an unresolved target-catalogue entry, not excluded because a claimed 530 cache lacks it.</w:t>
      </w:r>
    </w:p>
    <w:p>
      <w:r>
        <w:t>Green/blue/red/black legacy coifs require 40 Defence and respectively 40/50/60/70 Ranged. Royal coif has a 650-token legacy listing, but its precise 727 ID, requirements, repair cost and bonuses remain to be checked. Do not infer a 65-token repair or omit it solely from the January 2010 report. The 2015 non-degrading crafted system is outside target. [S09, S10, S13, S39; S02 exclusion]</w:t>
      </w:r>
    </w:p>
    <w:p>
      <w:bookmarkStart w:id="65" w:name="section_65"/>
      <w:pPr>
        <w:pStyle w:val="Heading2"/>
      </w:pPr>
      <w:r>
        <w:t>13.3 Spikeshields and berserker shields</w:t>
      </w:r>
      <w:bookmarkEnd w:id="65"/>
    </w:p>
    <w:tbl>
      <w:tblPr>
        <w:tblW w:type="auto" w:w="0"/>
        <w:jc w:val="center"/>
        <w:tblLayout w:type="fixed"/>
        <w:tblLook w:firstColumn="1" w:firstRow="1" w:lastColumn="0" w:lastRow="0" w:noHBand="0" w:noVBand="1" w:val="04A0"/>
      </w:tblPr>
      <w:tblGrid>
        <w:gridCol w:w="3557"/>
        <w:gridCol w:w="1498"/>
        <w:gridCol w:w="1627"/>
        <w:gridCol w:w="1771"/>
        <w:gridCol w:w="1714"/>
      </w:tblGrid>
      <w:tr>
        <w:trPr>
          <w:tblHeader/>
          <w:cantSplit/>
        </w:trPr>
        <w:tc>
          <w:tcPr>
            <w:tcW w:type="dxa" w:w="355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Shield</w:t>
            </w:r>
          </w:p>
        </w:tc>
        <w:tc>
          <w:tcPr>
            <w:tcW w:type="dxa" w:w="1498"/>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Defence</w:t>
            </w:r>
          </w:p>
        </w:tc>
        <w:tc>
          <w:tcPr>
            <w:tcW w:type="dxa" w:w="1627"/>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Purchase</w:t>
            </w:r>
          </w:p>
        </w:tc>
        <w:tc>
          <w:tcPr>
            <w:tcW w:type="dxa" w:w="1771"/>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Lower repair</w:t>
            </w:r>
          </w:p>
        </w:tc>
        <w:tc>
          <w:tcPr>
            <w:tcW w:type="dxa" w:w="171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Early repair</w:t>
            </w:r>
          </w:p>
        </w:tc>
      </w:tr>
      <w:tr>
        <w:trPr>
          <w:cantSplit/>
        </w:trPr>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Adamant spikeshield</w:t>
            </w:r>
          </w:p>
        </w:tc>
        <w:tc>
          <w:tcPr>
            <w:tcW w:type="dxa" w:w="149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c>
          <w:tcPr>
            <w:tcW w:type="dxa" w:w="177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8</w:t>
            </w:r>
          </w:p>
        </w:tc>
      </w:tr>
      <w:tr>
        <w:trPr>
          <w:cantSplit/>
        </w:trPr>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Adamant berserker</w:t>
            </w:r>
          </w:p>
        </w:tc>
        <w:tc>
          <w:tcPr>
            <w:tcW w:type="dxa" w:w="149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100</w:t>
            </w:r>
          </w:p>
        </w:tc>
        <w:tc>
          <w:tcPr>
            <w:tcW w:type="dxa" w:w="177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17</w:t>
            </w:r>
          </w:p>
        </w:tc>
      </w:tr>
      <w:tr>
        <w:trPr>
          <w:cantSplit/>
        </w:trPr>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Rune spikeshield</w:t>
            </w:r>
          </w:p>
        </w:tc>
        <w:tc>
          <w:tcPr>
            <w:tcW w:type="dxa" w:w="149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45</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200</w:t>
            </w:r>
          </w:p>
        </w:tc>
        <w:tc>
          <w:tcPr>
            <w:tcW w:type="dxa" w:w="177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35</w:t>
            </w:r>
          </w:p>
        </w:tc>
      </w:tr>
      <w:tr>
        <w:trPr>
          <w:cantSplit/>
        </w:trPr>
        <w:tc>
          <w:tcPr>
            <w:tcW w:type="dxa" w:w="3557"/>
            <w:vAlign w:val="center"/>
            <w:tcMar>
              <w:top w:w="70" w:type="dxa"/>
              <w:bottom w:w="70" w:type="dxa"/>
              <w:left w:w="95" w:type="dxa"/>
              <w:right w:w="95" w:type="dxa"/>
            </w:tcMar>
            <w:tcBorders>
              <w:bottom w:val="single" w:sz="3" w:color="D8E1E5"/>
            </w:tcBorders>
          </w:tcPr>
          <w:p>
            <w:pPr>
              <w:spacing w:after="0" w:before="0" w:line="245" w:lineRule="auto"/>
            </w:pPr>
            <w:r>
              <w:rPr>
                <w:b w:val="0"/>
                <w:sz w:val="20"/>
              </w:rPr>
              <w:t>Rune berserker</w:t>
            </w:r>
          </w:p>
        </w:tc>
        <w:tc>
          <w:tcPr>
            <w:tcW w:type="dxa" w:w="1498"/>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45</w:t>
            </w:r>
          </w:p>
        </w:tc>
        <w:tc>
          <w:tcPr>
            <w:tcW w:type="dxa" w:w="1627"/>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300</w:t>
            </w:r>
          </w:p>
        </w:tc>
        <w:tc>
          <w:tcPr>
            <w:tcW w:type="dxa" w:w="177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30</w:t>
            </w:r>
          </w:p>
        </w:tc>
        <w:tc>
          <w:tcPr>
            <w:tcW w:type="dxa" w:w="171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50</w:t>
            </w:r>
          </w:p>
        </w:tc>
      </w:tr>
    </w:tbl>
    <w:p>
      <w:pPr>
        <w:spacing w:after="60" w:before="0" w:line="240" w:lineRule="auto"/>
      </w:pPr>
      <w:r>
        <w:rPr>
          <w:sz w:val="4"/>
        </w:rPr>
      </w:r>
    </w:p>
    <w:p>
      <w:pPr>
        <w:pStyle w:val="Caption"/>
      </w:pPr>
      <w:r>
        <w:t>Prices and legacy requirements: [S07, S09, S13, S19, S20]. A reduction is dated 3 December 2009 [S40]; the lower profile is the target candidate, not proof of every 727 shop transaction.</w:t>
      </w:r>
    </w:p>
    <w:p>
      <w:r>
        <w:rPr>
          <w:b w:val="0"/>
        </w:rPr>
        <w:t xml:space="preserve">The main wiki chronology records shield-stat adjustments on </w:t>
      </w:r>
      <w:r>
        <w:rPr>
          <w:b/>
        </w:rPr>
        <w:t>4 June 2013</w:t>
      </w:r>
      <w:r>
        <w:rPr>
          <w:b w:val="0"/>
        </w:rPr>
        <w:t>. Appendix A intentionally labels old attack/defence bonuses as pre-EoC data; it does not claim they are later shield armour ratings. [S06]</w:t>
      </w:r>
    </w:p>
    <w:p>
      <w:pPr>
        <w:pStyle w:val="Heading1"/>
      </w:pPr>
      <w:r>
        <w:t>14. Reconciliation of the supplied 2010 report</w:t>
      </w:r>
    </w:p>
    <w:p>
      <w:r>
        <w:t>The supplied file is useful because it distinguishes several placeholders and provides concrete older-revision identifiers. Its confidence labels are the author's claims, not independent certification of a 727 value. Preserve the observations while testing the deductions. The following corrections prevent cross-version and client/server mistakes. [S39]</w:t>
      </w:r>
    </w:p>
    <w:p>
      <w:pPr>
        <w:pStyle w:val="Heading2"/>
      </w:pPr>
      <w:r>
        <w:t>14.1 Provenance, dates and price corrections</w:t>
      </w:r>
    </w:p>
    <w:p>
      <w:pPr/>
      <w:r>
        <w:t>The title targets January 2010 and repeatedly describes a 530 cache, but the methodology says the client scripts come from dumps/578/cs2/. Treat definitions, script excerpts and handwritten implementation code as distinct evidence streams. No numeric ID, component index, bit range or script behavior is labeled 727-confirmed here. [S39 introduction and section 10]</w:t>
      </w:r>
    </w:p>
    <w:p>
      <w:pPr/>
      <w:r>
        <w:t>The claim that there were no mechanical changes before January 2010 is too broad: the file itself lists a familiar-attack restriction, and Jagex separately documents the 3 December 2009 repair-price reduction. The new primary source corrects the earlier report's statement that the reduction date was missing; it does not supply all replacement prices. [S39 section 1; S40]</w:t>
      </w:r>
    </w:p>
    <w:p>
      <w:pPr/>
      <w:r>
        <w:t>The universal 10%-repair statement conflicts with the file's own gauntlet table. The assertion that every depleted item is statless also exceeds the historical manual's reduced-stat description. Validate the actual target item states and repair handler, rather than generating all costs and stats from a broad rule. [S10, S39 sections 7.3-7.5]</w:t>
      </w:r>
    </w:p>
    <w:p>
      <w:pPr>
        <w:pStyle w:val="Heading2"/>
      </w:pPr>
      <w:r>
        <w:t>14.2 The terrain is not an exact charge equation</w:t>
      </w:r>
    </w:p>
    <w:p>
      <w:pPr/>
      <w:r>
        <w:t>Recomputing the supplied ASCII floor transcription gives 84 rows of 89 cells. Using its stated centre (1663, 5695), the following points provide a direct internal counterexample to an exact radial reconstruction of the underlays. This audits the supplied text, not a raw 727 cache. [S39 section 11; D]</w:t>
      </w:r>
    </w:p>
    <w:tbl>
      <w:tblPr>
        <w:tblW w:type="auto" w:w="0"/>
        <w:jc w:val="center"/>
        <w:tblLayout w:type="fixed"/>
        <w:tblLook w:firstColumn="1" w:firstRow="1" w:lastColumn="0" w:lastRow="0" w:noHBand="0" w:noVBand="1" w:val="04A0"/>
      </w:tblPr>
      <w:tblGrid>
        <w:gridCol w:w="3053"/>
        <w:gridCol w:w="1872"/>
        <w:gridCol w:w="1008"/>
        <w:gridCol w:w="4104"/>
      </w:tblGrid>
      <w:tr>
        <w:trPr>
          <w:cantSplit/>
          <w:tblHeader/>
        </w:trPr>
        <w:tc>
          <w:tcPr>
            <w:tcW w:type="dxa" w:w="3053"/>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tile</w:t>
            </w:r>
          </w:p>
        </w:tc>
        <w:tc>
          <w:tcPr>
            <w:tcW w:type="dxa" w:w="1872"/>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Squared radius</w:t>
            </w:r>
          </w:p>
        </w:tc>
        <w:tc>
          <w:tcPr>
            <w:tcW w:type="dxa" w:w="1008"/>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Radius</w:t>
            </w:r>
          </w:p>
        </w:tc>
        <w:tc>
          <w:tcPr>
            <w:tcW w:type="dxa" w:w="4104"/>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Underlay symbol</w:t>
            </w:r>
          </w:p>
        </w:tc>
      </w:tr>
      <w:tr>
        <w:trPr>
          <w:cantSplit/>
        </w:trPr>
        <w:tc>
          <w:tcPr>
            <w:tcW w:type="dxa" w:w="305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(1663, 5708)</w:t>
            </w:r>
          </w:p>
        </w:tc>
        <w:tc>
          <w:tcPr>
            <w:tcW w:type="dxa" w:w="18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169</w:t>
            </w:r>
          </w:p>
        </w:tc>
        <w:tc>
          <w:tcPr>
            <w:tcW w:type="dxa" w:w="100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13</w:t>
            </w:r>
          </w:p>
        </w:tc>
        <w:tc>
          <w:tcPr>
            <w:tcW w:type="dxa" w:w="410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 = 33</w:t>
            </w:r>
          </w:p>
        </w:tc>
      </w:tr>
      <w:tr>
        <w:trPr>
          <w:cantSplit/>
        </w:trPr>
        <w:tc>
          <w:tcPr>
            <w:tcW w:type="dxa" w:w="305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(1650, 5695)</w:t>
            </w:r>
          </w:p>
        </w:tc>
        <w:tc>
          <w:tcPr>
            <w:tcW w:type="dxa" w:w="18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169</w:t>
            </w:r>
          </w:p>
        </w:tc>
        <w:tc>
          <w:tcPr>
            <w:tcW w:type="dxa" w:w="100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13</w:t>
            </w:r>
          </w:p>
        </w:tc>
        <w:tc>
          <w:tcPr>
            <w:tcW w:type="dxa" w:w="410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 = 32</w:t>
            </w:r>
          </w:p>
        </w:tc>
      </w:tr>
      <w:tr>
        <w:trPr>
          <w:cantSplit/>
        </w:trPr>
        <w:tc>
          <w:tcPr>
            <w:tcW w:type="dxa" w:w="305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(1663, 5695)</w:t>
            </w:r>
          </w:p>
        </w:tc>
        <w:tc>
          <w:tcPr>
            <w:tcW w:type="dxa" w:w="18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0</w:t>
            </w:r>
          </w:p>
        </w:tc>
        <w:tc>
          <w:tcPr>
            <w:tcW w:type="dxa" w:w="100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0</w:t>
            </w:r>
          </w:p>
        </w:tc>
        <w:tc>
          <w:tcPr>
            <w:tcW w:type="dxa" w:w="410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 = 31 at the stated centre</w:t>
            </w:r>
          </w:p>
        </w:tc>
      </w:tr>
    </w:tbl>
    <w:p>
      <w:pPr>
        <w:spacing w:after="40"/>
      </w:pPr>
    </w:p>
    <w:p>
      <w:pPr/>
      <w:r>
        <w:t>The two radius-13 tiles have different underlays. Therefore a function of distance alone cannot exactly reproduce this transcription about the stated centre. That does not disprove a radial server scoring rule: it disproves using these underlays as proof of that rule. Likewise, an underlay value of zero is not a complete collision or walkability specification. [S39 sections 2.4, 5.2 and 11; D]</w:t>
      </w:r>
    </w:p>
    <w:p>
      <w:pPr/>
      <w:r>
        <w:t>There is also a smaller arithmetic issue: floor(distance / 6.5) changes at 6.5, 13, 19.5, 26, 32.5 and 39, not the report's sequence 6.5, 13.5, 19.5, 26.5, 32.5 and 39.5. The reported coordinate centre is only approximate. Keep band radii, metric, inclusive boundaries and centre exceptions unverified until actual scoring behavior or relevant logic establishes them. [S39 section 5.2; D]</w:t>
      </w:r>
    </w:p>
    <w:p>
      <w:pPr/>
      <w:r>
        <w:t>At 21 charges every 3 seconds, 600 seconds with 200 pulses yields 4,200. Reaching 5,000 requires 239 pulses, or 717 seconds if the first arrives at t=3. Thus only the 28-charge rate, not both inner rates, can independently reach the cap within a ten-minute round. Existing section 4 calculations remain valid. [S39 section 5.2; D]</w:t>
      </w:r>
    </w:p>
    <w:p>
      <w:pPr>
        <w:pStyle w:val="Heading2"/>
      </w:pPr>
      <w:r>
        <w:t>14.3 Paired matches do not prove private instances</w:t>
      </w:r>
    </w:p>
    <w:p>
      <w:pPr/>
      <w:r>
        <w:t>The report infers private dynamic instances from two visible arena templates and a 250-player cap. That conclusion does not follow: many independent pairings can share one visible playfield while attack permission is restricted to the assigned opponent. Its own crowd-hiding description and shared-arena implementation demonstrate this alternative. The launch announcement also discusses minimizing interference from other matches. [S01, S39 sections 2.4, 5.5 and 10]</w:t>
      </w:r>
    </w:p>
    <w:p>
      <w:pPr/>
      <w:r>
        <w:t>Keep match identity, visibility filtering, attack filtering and map allocation separate. The reported existence of two templates does not establish the production allocator, a one-pair-per-instance rule, or even the completeness of the map scan. The friend notes missing XTEA keys, so absence of additional templates is not established. [S39]</w:t>
      </w:r>
    </w:p>
    <w:p>
      <w:pPr>
        <w:pStyle w:val="Heading2"/>
      </w:pPr>
      <w:r>
        <w:t>14.4 Implementation placeholders that remain non-evidence</w:t>
      </w:r>
    </w:p>
    <w:tbl>
      <w:tblPr>
        <w:tblW w:type="auto" w:w="0"/>
        <w:jc w:val="center"/>
        <w:tblLayout w:type="fixed"/>
        <w:tblLook w:firstColumn="1" w:firstRow="1" w:lastColumn="0" w:lastRow="0" w:noHBand="0" w:noVBand="1" w:val="04A0"/>
      </w:tblPr>
      <w:tblGrid>
        <w:gridCol w:w="5760"/>
        <w:gridCol w:w="4277"/>
      </w:tblGrid>
      <w:tr>
        <w:trPr>
          <w:cantSplit/>
          <w:tblHeader/>
        </w:trPr>
        <w:tc>
          <w:tcPr>
            <w:tcW w:type="dxa" w:w="5760"/>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Placeholder in supplied implementation</w:t>
            </w:r>
          </w:p>
        </w:tc>
        <w:tc>
          <w:tcPr>
            <w:tcW w:type="dxa" w:w="4277"/>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727 status</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Rating: base 10, charge-margin scaling and combat-level tilt</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Not a recovered rating equation.</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Tokens: 2 + charges/500 + total level/250; cap 2-25</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Not a recovered payout equation; rounding is also unspecified.</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Quit compensation: 500 after a round starts, otherwise 150</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Branch condition is invented, despite the two reported amounts.</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Hunted handicap: 50% at the Fist to 10% at the rim</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No authenticated per-band coefficient table.</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Portal success: 50%, minus 5 points/use, floor 25%</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No confirmed repeated-use probability schedule.</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House: 10% entry, then 2% per 5 seconds</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Recurring 2% is not established by the older descriptions.</w:t>
            </w:r>
          </w:p>
        </w:tc>
      </w:tr>
      <w:tr>
        <w:trPr>
          <w:cantSplit/>
        </w:trPr>
        <w:tc>
          <w:tcPr>
            <w:tcW w:type="dxa" w:w="576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Five stone stages: five equal parts of the 5,000 cap</w:t>
            </w:r>
          </w:p>
        </w:tc>
        <w:tc>
          <w:tcPr>
            <w:tcW w:type="dxa" w:w="427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Models do not prove 1,000-charge stage thresholds.</w:t>
            </w:r>
          </w:p>
        </w:tc>
      </w:tr>
    </w:tbl>
    <w:p>
      <w:pPr>
        <w:spacing w:after="40"/>
      </w:pPr>
    </w:p>
    <w:p>
      <w:pPr/>
      <w:r>
        <w:t>Source: [S39 section 10], which explicitly identifies these choices as placeholders. They may be useful configurable emulator decisions, but they are excluded from recovered mechanics. A default that makes a minigame playable is not evidence of the original behavior.</w:t>
      </w:r>
    </w:p>
    <w:p>
      <w:pPr>
        <w:pStyle w:val="Heading2"/>
      </w:pPr>
      <w:r>
        <w:t>14.5 Additional behavioral claims requiring verification</w:t>
      </w:r>
    </w:p>
    <w:p>
      <w:pPr/>
      <w:r>
        <w:t>The report adds a 3-2-1-Go countdown, animation IDs, a roughly half-second forced house exit, fixed-looking supply allocation timing and rest restrictions. These are useful test leads. The May 2010 footage is described but not uniquely identified with a URL or timecode in the file; its frame timing has not been independently audited. Do not convert an approximate half-second observation into an exact number of 727 game ticks. [S39 sections 2.4, 4 and 5]</w:t>
      </w:r>
    </w:p>
    <w:p>
      <w:pPr/>
      <w:r>
        <w:t>The claim that no spells were banned in January 2010 also cannot establish unrestricted spell access in 727: the file itself specifies hunted-side Lunar exceptions, and the historical manual describes a spell restriction. Date of introduction, possession of an item, client display and arena permission are different predicates. [S10, S39 sections 5.1 and 6]</w:t>
      </w:r>
    </w:p>
    <w:p>
      <w:pPr>
        <w:pStyle w:val="Heading1"/>
      </w:pPr>
      <w:r>
        <w:t>15. Candidate cache and client wiring for the 727 audit</w:t>
      </w:r>
    </w:p>
    <w:p>
      <w:pPr/>
      <w:r>
        <w:t>All data in this section is R evidence transcribed from the supplied report, unless specifically labeled D. It is a search index for the matching target artifacts, not permission to copy older IDs or client-script behavior unchanged. Numeric IDs are retained because they make later cross-checking precise. [S39 sections 2, 7-10]</w:t>
      </w:r>
    </w:p>
    <w:p>
      <w:pPr>
        <w:pStyle w:val="Heading2"/>
      </w:pPr>
      <w:r>
        <w:t>15.1 Artifact identity and evidence record</w:t>
      </w:r>
    </w:p>
    <w:tbl>
      <w:tblPr>
        <w:tblW w:type="auto" w:w="0"/>
        <w:jc w:val="center"/>
        <w:tblLayout w:type="fixed"/>
        <w:tblLook w:firstColumn="1" w:firstRow="1" w:lastColumn="0" w:lastRow="0" w:noHBand="0" w:noVBand="1" w:val="04A0"/>
      </w:tblPr>
      <w:tblGrid>
        <w:gridCol w:w="4565"/>
        <w:gridCol w:w="5472"/>
      </w:tblGrid>
      <w:tr>
        <w:trPr>
          <w:cantSplit/>
          <w:tblHeader/>
        </w:trPr>
        <w:tc>
          <w:tcPr>
            <w:tcW w:type="dxa" w:w="4565"/>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Field to retain</w:t>
            </w:r>
          </w:p>
        </w:tc>
        <w:tc>
          <w:tcPr>
            <w:tcW w:type="dxa" w:w="5472"/>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Purpose</w:t>
            </w:r>
          </w:p>
        </w:tc>
      </w:tr>
      <w:tr>
        <w:trPr>
          <w:cantSplit/>
        </w:trPr>
        <w:tc>
          <w:tcPr>
            <w:tcW w:type="dxa" w:w="456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Target revision; live/beta environment; cache source and date</w:t>
            </w:r>
          </w:p>
        </w:tc>
        <w:tc>
          <w:tcPr>
            <w:tcW w:type="dxa" w:w="54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Prevent a mixed-revision or EoC-beta data set from defining live 727 behavior.</w:t>
            </w:r>
          </w:p>
        </w:tc>
      </w:tr>
      <w:tr>
        <w:trPr>
          <w:cantSplit/>
        </w:trPr>
        <w:tc>
          <w:tcPr>
            <w:tcW w:type="dxa" w:w="456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Archive/index/group/file identity; checksums; available keys</w:t>
            </w:r>
          </w:p>
        </w:tc>
        <w:tc>
          <w:tcPr>
            <w:tcW w:type="dxa" w:w="54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Tie a decoded definition or landscape to an exact artifact.</w:t>
            </w:r>
          </w:p>
        </w:tc>
      </w:tr>
      <w:tr>
        <w:trPr>
          <w:cantSplit/>
        </w:trPr>
        <w:tc>
          <w:tcPr>
            <w:tcW w:type="dxa" w:w="456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Gameval name, numeric ID, definition type and alias provenance</w:t>
            </w:r>
          </w:p>
        </w:tc>
        <w:tc>
          <w:tcPr>
            <w:tcW w:type="dxa" w:w="54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Separate names used by a project from directly recovered data.</w:t>
            </w:r>
          </w:p>
        </w:tc>
      </w:tr>
      <w:tr>
        <w:trPr>
          <w:cantSplit/>
        </w:trPr>
        <w:tc>
          <w:tcPr>
            <w:tcW w:type="dxa" w:w="456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Script ID/name, client or server classification, content hash</w:t>
            </w:r>
          </w:p>
        </w:tc>
        <w:tc>
          <w:tcPr>
            <w:tcW w:type="dxa" w:w="54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Identify what code actually demonstrates and which build supplied it.</w:t>
            </w:r>
          </w:p>
        </w:tc>
      </w:tr>
      <w:tr>
        <w:trPr>
          <w:cantSplit/>
        </w:trPr>
        <w:tc>
          <w:tcPr>
            <w:tcW w:type="dxa" w:w="456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Claim, evidence excerpt, inferred conclusion, remaining unknown</w:t>
            </w:r>
          </w:p>
        </w:tc>
        <w:tc>
          <w:tcPr>
            <w:tcW w:type="dxa" w:w="547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Avoid silently upgrading a compatible hypothesis into a fact.</w:t>
            </w:r>
          </w:p>
        </w:tc>
      </w:tr>
    </w:tbl>
    <w:p>
      <w:pPr>
        <w:spacing w:after="40"/>
      </w:pPr>
    </w:p>
    <w:p>
      <w:pPr/>
      <w:r>
        <w:t>When a cache contains a shop price string, it proves that string exists in that artifact; it does not alone prove the server charged it. Client scripts can establish display calculations and some interaction checks. Server-side rating, token payouts, drop/proc rolls and authoritative casting permissions require corresponding server logic or observed behavior. Gameval names help locate a system but do not supply its hidden equation.</w:t>
      </w:r>
    </w:p>
    <w:p>
      <w:pPr>
        <w:pStyle w:val="Heading2"/>
      </w:pPr>
      <w:r>
        <w:t>15.2 Reported geometry and landmarks</w:t>
      </w:r>
    </w:p>
    <w:p>
      <w:pPr/>
      <w:r>
        <w:t>Reported arena centre: approximately (1663, 5695), plane 0. Lobby bounds: (1671, 5589)-(1721, 5611). Waiting bounds: (1600, 5581)-(1659, 5628). The old overworld exit near (3242, 3574) is not a 727 access coordinate. These bounds and the second alleged template need independent target-map validation. [S39 section 2; S41]</w:t>
      </w:r>
    </w:p>
    <w:tbl>
      <w:tblPr>
        <w:tblW w:type="auto" w:w="0"/>
        <w:jc w:val="center"/>
        <w:tblLayout w:type="fixed"/>
        <w:tblLook w:firstColumn="1" w:firstRow="1" w:lastColumn="0" w:lastRow="0" w:noHBand="0" w:noVBand="1" w:val="04A0"/>
      </w:tblPr>
      <w:tblGrid>
        <w:gridCol w:w="2261"/>
        <w:gridCol w:w="7776"/>
      </w:tblGrid>
      <w:tr>
        <w:trPr>
          <w:cantSplit/>
          <w:tblHeader/>
        </w:trPr>
        <w:tc>
          <w:tcPr>
            <w:tcW w:type="dxa" w:w="2261"/>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House portal</w:t>
            </w:r>
          </w:p>
        </w:tc>
        <w:tc>
          <w:tcPr>
            <w:tcW w:type="dxa" w:w="7776"/>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Barrier coordinates: W / S / N / E</w:t>
            </w:r>
          </w:p>
        </w:tc>
      </w:tr>
      <w:tr>
        <w:trPr>
          <w:cantSplit/>
        </w:trPr>
        <w:tc>
          <w:tcPr>
            <w:tcW w:type="dxa" w:w="2261"/>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(1656, 5683)</w:t>
            </w:r>
          </w:p>
        </w:tc>
        <w:tc>
          <w:tcPr>
            <w:tcW w:type="dxa" w:w="777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(1654,5683) / (1656,5681) / (1656,5685) / (1658,5683)</w:t>
            </w:r>
          </w:p>
        </w:tc>
      </w:tr>
      <w:tr>
        <w:trPr>
          <w:cantSplit/>
        </w:trPr>
        <w:tc>
          <w:tcPr>
            <w:tcW w:type="dxa" w:w="2261"/>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(1676, 5688)</w:t>
            </w:r>
          </w:p>
        </w:tc>
        <w:tc>
          <w:tcPr>
            <w:tcW w:type="dxa" w:w="777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(1674,5688) / (1676,5686) / (1676,5690) / (1678,5688)</w:t>
            </w:r>
          </w:p>
        </w:tc>
      </w:tr>
      <w:tr>
        <w:trPr>
          <w:cantSplit/>
        </w:trPr>
        <w:tc>
          <w:tcPr>
            <w:tcW w:type="dxa" w:w="2261"/>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(1651, 5703)</w:t>
            </w:r>
          </w:p>
        </w:tc>
        <w:tc>
          <w:tcPr>
            <w:tcW w:type="dxa" w:w="777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(1649,5703) / (1651,5701) / (1651,5705) / (1653,5703)</w:t>
            </w:r>
          </w:p>
        </w:tc>
      </w:tr>
      <w:tr>
        <w:trPr>
          <w:cantSplit/>
        </w:trPr>
        <w:tc>
          <w:tcPr>
            <w:tcW w:type="dxa" w:w="2261"/>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(1667, 5704)</w:t>
            </w:r>
          </w:p>
        </w:tc>
        <w:tc>
          <w:tcPr>
            <w:tcW w:type="dxa" w:w="777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(1665,5704) / (1667,5702) / (1667,5706) / (1669,5704)</w:t>
            </w:r>
          </w:p>
        </w:tc>
      </w:tr>
    </w:tbl>
    <w:p>
      <w:pPr>
        <w:spacing w:after="40"/>
      </w:pPr>
    </w:p>
    <w:p>
      <w:pPr/>
      <w:r>
        <w:t>Eight reported dispenser placements: (1626,5697), (1634,5673), (1638,5721), (1661,5660), (1661,5731), (1687,5715), (1694,5676), (1700,5695). A loc origin does not automatically identify the player's interaction or arrival tile. [S39 section 2.4]</w:t>
      </w:r>
    </w:p>
    <w:p>
      <w:pPr/>
      <w:r>
        <w:t>Eight reported pairs of forfeit locs (30144/30145): (1625,5710)/(1625,5711); (1629,5678)/(1629,5679); (1646,5730)/(1647,5730); (1658,5654)/(1657,5654); (1674,5730)/(1675,5730); (1687,5664)/(1686,5664); (1691,5715)/(1691,5714); (1706,5693)/(1706,5692). Verify orientations, footprint, clipping and exit trigger separately. [S39 section 2.4]</w:t>
      </w:r>
    </w:p>
    <w:p>
      <w:pPr>
        <w:pStyle w:val="Heading2"/>
      </w:pPr>
      <w:r>
        <w:t>15.3 Interfaces and component paths</w:t>
      </w:r>
    </w:p>
    <w:tbl>
      <w:tblPr>
        <w:tblW w:type="auto" w:w="0"/>
        <w:jc w:val="center"/>
        <w:tblLayout w:type="fixed"/>
        <w:tblLook w:firstColumn="1" w:firstRow="1" w:lastColumn="0" w:lastRow="0" w:noHBand="0" w:noVBand="1" w:val="04A0"/>
      </w:tblPr>
      <w:tblGrid>
        <w:gridCol w:w="1440"/>
        <w:gridCol w:w="2088"/>
        <w:gridCol w:w="6509"/>
      </w:tblGrid>
      <w:tr>
        <w:trPr>
          <w:cantSplit/>
          <w:tblHeader/>
        </w:trPr>
        <w:tc>
          <w:tcPr>
            <w:tcW w:type="dxa" w:w="1440"/>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ID</w:t>
            </w:r>
          </w:p>
        </w:tc>
        <w:tc>
          <w:tcPr>
            <w:tcW w:type="dxa" w:w="2088"/>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components</w:t>
            </w:r>
          </w:p>
        </w:tc>
        <w:tc>
          <w:tcPr>
            <w:tcW w:type="dxa" w:w="6509"/>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purpose</w:t>
            </w:r>
          </w:p>
        </w:tc>
      </w:tr>
      <w:tr>
        <w:trPr>
          <w:cantSplit/>
        </w:trPr>
        <w:tc>
          <w:tcPr>
            <w:tcW w:type="dxa" w:w="144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730</w:t>
            </w:r>
          </w:p>
        </w:tc>
        <w:tc>
          <w:tcPr>
            <w:tcW w:type="dxa" w:w="208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31</w:t>
            </w:r>
          </w:p>
        </w:tc>
        <w:tc>
          <w:tcPr>
            <w:tcW w:type="dxa" w:w="6509"/>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Arena overlay: role, opponent, charge, timer and stone reminder.</w:t>
            </w:r>
          </w:p>
        </w:tc>
      </w:tr>
      <w:tr>
        <w:trPr>
          <w:cantSplit/>
        </w:trPr>
        <w:tc>
          <w:tcPr>
            <w:tcW w:type="dxa" w:w="144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731</w:t>
            </w:r>
          </w:p>
        </w:tc>
        <w:tc>
          <w:tcPr>
            <w:tcW w:type="dxa" w:w="208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27</w:t>
            </w:r>
          </w:p>
        </w:tc>
        <w:tc>
          <w:tcPr>
            <w:tcW w:type="dxa" w:w="6509"/>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Lobby overlay: rating, waiting status and forbidden-item warning.</w:t>
            </w:r>
          </w:p>
        </w:tc>
      </w:tr>
      <w:tr>
        <w:trPr>
          <w:cantSplit/>
        </w:trPr>
        <w:tc>
          <w:tcPr>
            <w:tcW w:type="dxa" w:w="144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732</w:t>
            </w:r>
          </w:p>
        </w:tc>
        <w:tc>
          <w:tcPr>
            <w:tcW w:type="dxa" w:w="2088"/>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210</w:t>
            </w:r>
          </w:p>
        </w:tc>
        <w:tc>
          <w:tcPr>
            <w:tcW w:type="dxa" w:w="6509"/>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Reward shop; component 206 is the title.</w:t>
            </w:r>
          </w:p>
        </w:tc>
      </w:tr>
    </w:tbl>
    <w:p>
      <w:pPr>
        <w:spacing w:after="40"/>
      </w:pPr>
    </w:p>
    <w:tbl>
      <w:tblPr>
        <w:tblW w:type="auto" w:w="0"/>
        <w:jc w:val="center"/>
        <w:tblLayout w:type="fixed"/>
        <w:tblLook w:firstColumn="1" w:firstRow="1" w:lastColumn="0" w:lastRow="0" w:noHBand="0" w:noVBand="1" w:val="04A0"/>
      </w:tblPr>
      <w:tblGrid>
        <w:gridCol w:w="2232"/>
        <w:gridCol w:w="7805"/>
      </w:tblGrid>
      <w:tr>
        <w:trPr>
          <w:cantSplit/>
          <w:tblHeader/>
        </w:trPr>
        <w:tc>
          <w:tcPr>
            <w:tcW w:type="dxa" w:w="2232"/>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Interface 730 child</w:t>
            </w:r>
          </w:p>
        </w:tc>
        <w:tc>
          <w:tcPr>
            <w:tcW w:type="dxa" w:w="7805"/>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function</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22</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Top-right panel container.</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17</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Static Charge label.</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18</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Opponent name from varcstr 217 through script 1582.</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19 / 26</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Hunting sub-panel.</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20 / 27</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Hunted-by sub-panel; reported hidden by default.</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23 / 28</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Bottom-centre timer container / Time-left label.</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29 / 30</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182-pixel timer fill / frame using sprite 1072.</w:t>
            </w:r>
          </w:p>
        </w:tc>
      </w:tr>
      <w:tr>
        <w:trPr>
          <w:cantSplit/>
        </w:trPr>
        <w:tc>
          <w:tcPr>
            <w:tcW w:type="dxa" w:w="2232"/>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24 / 7</w:t>
            </w:r>
          </w:p>
        </w:tc>
        <w:tc>
          <w:tcPr>
            <w:tcW w:type="dxa" w:w="7805"/>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Stone reminder container/text.</w:t>
            </w:r>
          </w:p>
        </w:tc>
      </w:tr>
    </w:tbl>
    <w:p>
      <w:pPr>
        <w:spacing w:after="40"/>
      </w:pPr>
    </w:p>
    <w:p>
      <w:pPr/>
      <w:r>
        <w:t>Interface 731: rating text 7; status box 17 and text 16; forbidden-item box 26 and text 25. The supplied report says these are server-pushed texts, not client-variable-driven. Verify component structure and scripts in 727 rather than relying on the older component count. [S39 section 8.4]</w:t>
      </w:r>
    </w:p>
    <w:p>
      <w:pPr>
        <w:pStyle w:val="Heading2"/>
      </w:pPr>
      <w:r>
        <w:t>15.4 Variables, timer and rune display</w:t>
      </w:r>
    </w:p>
    <w:tbl>
      <w:tblPr>
        <w:tblW w:type="auto" w:w="0"/>
        <w:jc w:val="center"/>
        <w:tblLayout w:type="fixed"/>
        <w:tblLook w:firstColumn="1" w:firstRow="1" w:lastColumn="0" w:lastRow="0" w:noHBand="0" w:noVBand="1" w:val="04A0"/>
      </w:tblPr>
      <w:tblGrid>
        <w:gridCol w:w="1944"/>
        <w:gridCol w:w="2880"/>
        <w:gridCol w:w="5213"/>
      </w:tblGrid>
      <w:tr>
        <w:trPr>
          <w:cantSplit/>
          <w:tblHeader/>
        </w:trPr>
        <w:tc>
          <w:tcPr>
            <w:tcW w:type="dxa" w:w="1944"/>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field</w:t>
            </w:r>
          </w:p>
        </w:tc>
        <w:tc>
          <w:tcPr>
            <w:tcW w:type="dxa" w:w="2880"/>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storage</w:t>
            </w:r>
          </w:p>
        </w:tc>
        <w:tc>
          <w:tcPr>
            <w:tcW w:type="dxa" w:w="5213"/>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Claim and remaining limit</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varbit 4540</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varp 1209; bits 6-7</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 = hunter; 3 = hunted. Script 955 excerpt supports the hunted value in the older script dump.</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varbit 4564</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varp 1215; bits 0-9</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Round timer display 0-1000. Update cadence and target ownership still need validation.</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varbit 4567</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varp 1215; bits 12-24</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13-bit candidate charge counter; capacity is not proof of meaning.</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varbits 4565 / 4566</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varp 1215; bits 10 / 11</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Single-bit flags; purpose unknown.</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varbit 4568</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varp 1215; bits 25-26</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Two-bit field; purpose unknown.</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varcstr 217</w:t>
            </w:r>
          </w:p>
        </w:tc>
        <w:tc>
          <w:tcPr>
            <w:tcW w:type="dxa" w:w="2880"/>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Client string variable</w:t>
            </w:r>
          </w:p>
        </w:tc>
        <w:tc>
          <w:tcPr>
            <w:tcW w:type="dxa" w:w="5213"/>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Opponent display name in script 1582.</w:t>
            </w:r>
          </w:p>
        </w:tc>
      </w:tr>
    </w:tbl>
    <w:p>
      <w:pPr>
        <w:spacing w:after="40"/>
      </w:pPr>
    </w:p>
    <w:p>
      <w:pPr/>
      <w:r>
        <w:t>The quoted script 954 sizes the timer proportionally to (1000 - timer)/1000 of 182 pixels. This supports an emptying display. It does not establish integer rounding or prove that the server increments the timer exactly once per 600 ms. D: 1,000 units in 600 seconds would be 0.6 seconds/unit under a linear one-unit model. [S39 section 8.2]</w:t>
      </w:r>
    </w:p>
    <w:p>
      <w:pPr/>
      <w:r>
        <w:t>Script 955 reportedly shows the reminder when role = 3 and no stone ID 12845-12849 exists in inventory or worn slots. That is a reminder predicate, not a charge-eligibility predicate: carrying a stone can hide a nag even when charging still requires equipping it. Preserve this distinction in tests. [S39 sections 5.2 and 8.2]</w:t>
      </w:r>
    </w:p>
    <w:p>
      <w:pPr/>
      <w:r>
        <w:t>Script 19 / magic_runecount reportedly adds elemental-rune counts for air/water/earth/fire and catalytic counts for body/mind/cosmic/chaos/nature/death/law/soul/blood/astral when role is 2 or 3. A lit spell icon is not proof of allowed casting, sufficient aggregate shared runes or server consumption. Armadyl substitution needs the 727 script and server path. [S39 section 8.3; S16]</w:t>
      </w:r>
    </w:p>
    <w:p>
      <w:pPr/>
      <w:r>
        <w:t>The listed fields share parent varps. Any integration should preserve unrelated bits rather than overwrite a parent varp with one child's value. This is an implementation safeguard, not proof of the original packet cadence or server state layout.</w:t>
      </w:r>
    </w:p>
    <w:p>
      <w:pPr>
        <w:pStyle w:val="Heading2"/>
      </w:pPr>
      <w:r>
        <w:t>15.5 Gameplay item IDs and stone models</w:t>
      </w:r>
    </w:p>
    <w:tbl>
      <w:tblPr>
        <w:tblW w:type="auto" w:w="0"/>
        <w:jc w:val="center"/>
        <w:tblLayout w:type="fixed"/>
        <w:tblLook w:firstColumn="1" w:firstRow="1" w:lastColumn="0" w:lastRow="0" w:noHBand="0" w:noVBand="1" w:val="04A0"/>
      </w:tblPr>
      <w:tblGrid>
        <w:gridCol w:w="1757"/>
        <w:gridCol w:w="3744"/>
        <w:gridCol w:w="4536"/>
      </w:tblGrid>
      <w:tr>
        <w:trPr>
          <w:cantSplit/>
          <w:tblHeader/>
        </w:trPr>
        <w:tc>
          <w:tcPr>
            <w:tcW w:type="dxa" w:w="1757"/>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item ID</w:t>
            </w:r>
          </w:p>
        </w:tc>
        <w:tc>
          <w:tcPr>
            <w:tcW w:type="dxa" w:w="3744"/>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Name / options</w:t>
            </w:r>
          </w:p>
        </w:tc>
        <w:tc>
          <w:tcPr>
            <w:tcW w:type="dxa" w:w="4536"/>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Audit point</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12845-12849</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Five stones: Wield / Destroy</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Two-handed, 30 kg reported; no verified stage thresholds.</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12850</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Elemental rune: Drop; stackable</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Match-only substitution and cleanup.</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12851</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Catalytic rune: Drop; stackable</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Exact eligible rune set and shared-cost accounting.</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12852</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FoG token: stackable</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Persistent physical currency; not match cleanup.</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12853</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Bandages: Heal / Destroy</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Flat versus percentage healing and action delay.</w:t>
            </w:r>
          </w:p>
        </w:tc>
      </w:tr>
      <w:tr>
        <w:trPr>
          <w:cantSplit/>
        </w:trPr>
        <w:tc>
          <w:tcPr>
            <w:tcW w:type="dxa" w:w="17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12855</w:t>
            </w:r>
          </w:p>
        </w:tc>
        <w:tc>
          <w:tcPr>
            <w:tcW w:type="dxa" w:w="37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Tele-orb: Teleport / Destroy</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Single match use; target tile, exit cleanup and end-state rejection.</w:t>
            </w:r>
          </w:p>
        </w:tc>
      </w:tr>
    </w:tbl>
    <w:p>
      <w:pPr>
        <w:spacing w:after="40"/>
      </w:pPr>
    </w:p>
    <w:p>
      <w:pPr/>
      <w:r>
        <w:t>The reported common stone inventory model is 33174. Worn models for items 12845, 12846, 12847, 12848 and 12849 are respectively 33231, 33236, 33233, 33234 and 33237. Different worn models make distinct visual variants plausible; the raw definitions alone do not prove that they are charge stages, their order or their transition values. The report's equal 1,000-charge thresholds are explicitly placeholders. [S39 sections 9-10]</w:t>
      </w:r>
    </w:p>
    <w:p>
      <w:pPr>
        <w:pStyle w:val="Heading2"/>
      </w:pPr>
      <w:r>
        <w:t>15.6 NPCs, locs, animations and reward lookups</w:t>
      </w:r>
    </w:p>
    <w:p>
      <w:pPr/>
      <w:r>
        <w:t>Reported NPCs: Fiara 7600 (size 3); Reggie 7601; Getorix 7602; Pontimer 7603; Alran 7604; Banker 7605. Compare names, options, morphs and actual spawns independently. NPC existence in the cache does not alone prove a target-era spawn or quest-state selection. [S39 section 9]</w:t>
      </w:r>
    </w:p>
    <w:tbl>
      <w:tblPr>
        <w:tblW w:type="auto" w:w="0"/>
        <w:jc w:val="center"/>
        <w:tblLayout w:type="fixed"/>
        <w:tblLook w:firstColumn="1" w:firstRow="1" w:lastColumn="0" w:lastRow="0" w:noHBand="0" w:noVBand="1" w:val="04A0"/>
      </w:tblPr>
      <w:tblGrid>
        <w:gridCol w:w="1944"/>
        <w:gridCol w:w="4536"/>
        <w:gridCol w:w="3557"/>
      </w:tblGrid>
      <w:tr>
        <w:trPr>
          <w:cantSplit/>
          <w:tblHeader/>
        </w:trPr>
        <w:tc>
          <w:tcPr>
            <w:tcW w:type="dxa" w:w="1944"/>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loc ID</w:t>
            </w:r>
          </w:p>
        </w:tc>
        <w:tc>
          <w:tcPr>
            <w:tcW w:type="dxa" w:w="4536"/>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Function / option</w:t>
            </w:r>
          </w:p>
        </w:tc>
        <w:tc>
          <w:tcPr>
            <w:tcW w:type="dxa" w:w="3557"/>
            <w:vAlign w:val="center"/>
            <w:tcMar>
              <w:top w:w="90" w:type="dxa"/>
              <w:bottom w:w="90" w:type="dxa"/>
              <w:left w:w="100" w:type="dxa"/>
              <w:right w:w="100" w:type="dxa"/>
            </w:tcMar>
            <w:tcBorders>
              <w:bottom w:val="single" w:sz="4" w:color="D6DEDD"/>
            </w:tcBorders>
            <w:shd w:fill="E8EFED"/>
          </w:tcPr>
          <w:p>
            <w:pPr>
              <w:spacing w:after="40" w:before="40" w:line="252" w:lineRule="auto"/>
            </w:pPr>
            <w:r>
              <w:rPr>
                <w:rFonts w:ascii="Calibri" w:hAnsi="Calibri"/>
                <w:b/>
                <w:sz w:val="20"/>
              </w:rPr>
              <w:t>Reported size / animation</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30141</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Energy barrier / Pass</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1x1 / 9005</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30142</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Stone dispenser / idle variant</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1x1 / unspecified</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30143</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Stone dispenser / Take-stone</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1x1 / 9011</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30144, 30145</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Forfeit tunnels / Exit-through</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1x1 / unspecified</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30146</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Portal / Enter</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1x1 / 504</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30203</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Stairs / Exit</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3x2 / unspecified</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30204</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Old cave entrance / Enter</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4x4 / unspecified</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30205</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Scoreboard / Look-at</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3x1 / 9010</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30213</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Entrance / no listed option</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1x2 / unspecified</w:t>
            </w:r>
          </w:p>
        </w:tc>
      </w:tr>
      <w:tr>
        <w:trPr>
          <w:cantSplit/>
        </w:trPr>
        <w:tc>
          <w:tcPr>
            <w:tcW w:type="dxa" w:w="1944"/>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30224</w:t>
            </w:r>
          </w:p>
        </w:tc>
        <w:tc>
          <w:tcPr>
            <w:tcW w:type="dxa" w:w="4536"/>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Passageway / Go-through</w:t>
            </w:r>
          </w:p>
        </w:tc>
        <w:tc>
          <w:tcPr>
            <w:tcW w:type="dxa" w:w="3557"/>
            <w:vAlign w:val="center"/>
            <w:tcMar>
              <w:top w:w="90" w:type="dxa"/>
              <w:bottom w:w="90" w:type="dxa"/>
              <w:left w:w="100" w:type="dxa"/>
              <w:right w:w="100" w:type="dxa"/>
            </w:tcMar>
            <w:tcBorders>
              <w:bottom w:val="single" w:sz="4" w:color="D6DEDD"/>
            </w:tcBorders>
          </w:tcPr>
          <w:p>
            <w:pPr>
              <w:spacing w:after="40" w:before="40" w:line="252" w:lineRule="auto"/>
            </w:pPr>
            <w:r>
              <w:rPr>
                <w:rFonts w:ascii="Calibri" w:hAnsi="Calibri"/>
                <w:b w:val="0"/>
                <w:sz w:val="20"/>
              </w:rPr>
              <w:t>2x1 / unspecified</w:t>
            </w:r>
          </w:p>
        </w:tc>
      </w:tr>
    </w:tbl>
    <w:p>
      <w:pPr>
        <w:spacing w:after="40"/>
      </w:pPr>
    </w:p>
    <w:p>
      <w:pPr/>
      <w:r>
        <w:t>Reported spot animations: 1583 incoming mote; 1584 green arrival smoke; 1585 red stone-damage effect. The file also assigns 1580/1582 to green bars and 1581 to a blue bar. Do not confuse a spot animation with a projectile definition or assume its appearance determines timing, trajectory or targeting. [S39 sections 5.2 and 9]</w:t>
      </w:r>
    </w:p>
    <w:p>
      <w:pPr/>
      <w:r>
        <w:t>Reported shop lookups: druidic hood/top/bottom 12887/12894/12901; combat hood/top/bottom 12964/12971/12978; battle hood/top/bottom 12866/12873/12880. Shields: adamant spike 12908, adamant berserker 12915, rune spike 12922, rune berserker 12929. Claimed charged item IDs must be compared with all target condition variants. [S39 section 7.4]</w:t>
      </w:r>
    </w:p>
    <w:p>
      <w:pPr/>
      <w:r>
        <w:t>Skilling-glove lookups: irit 12856, avantoe 12857, kwuarm 12858, cadantine 12859, swordfish 12860, shark 12861, dragon slayer 12862, air 12863, water 12864, earth 12865. The older item definitions reportedly flag herb and shark gloves as members items, but not swordfish, dragon slayer or Runecrafting gloves. That is R evidence, not a fresh 727 member-flag audit. [S39 section 7.4]</w:t>
      </w:r>
    </w:p>
    <w:p>
      <w:pPr/>
      <w:r>
        <w:t>Reported client script 956 initializes reward-row option text. The supplied report refers to an FOGReward enum for buy-button component numbers without including that enum, so no complete row-to-button map has been recovered from the attachment itself. Validate shop text, click handlers, costs, requirements and offered stock as separate fields. [S39 section 7.4]</w:t>
      </w:r>
    </w:p>
    <w:p>
      <w:bookmarkStart w:id="67" w:name="section_67"/>
      <w:pPr>
        <w:pStyle w:val="Heading1"/>
      </w:pPr>
      <w:r>
        <w:t>Appendix A. Pre-EoC equipment numbers</w:t>
      </w:r>
      <w:bookmarkEnd w:id="67"/>
    </w:p>
    <w:p>
      <w:r>
        <w:rPr>
          <w:b w:val="0"/>
        </w:rPr>
        <w:t xml:space="preserve">These are </w:t>
      </w:r>
      <w:r>
        <w:rPr>
          <w:b/>
        </w:rPr>
        <w:t>legacy fully charged equipment bonuses</w:t>
      </w:r>
      <w:r>
        <w:rPr>
          <w:b w:val="0"/>
        </w:rPr>
        <w:t>, not current RS3 armour ratings. Columns S / L / C / M / R / Su mean stab / slash / crush / magic / ranged / Summoning defence. Negative signs are intentional. A dash in descriptive tables elsewhere means unverified; numeric zero below means a reported zero. Sources: historical manual and guide tables [S09, S10, S13], with set-specific entries [S21-S23].</w:t>
      </w:r>
    </w:p>
    <w:p>
      <w:bookmarkStart w:id="68" w:name="section_68"/>
      <w:pPr>
        <w:pStyle w:val="Heading2"/>
      </w:pPr>
      <w:r>
        <w:t>A.1 Robes</w:t>
      </w:r>
      <w:bookmarkEnd w:id="68"/>
    </w:p>
    <w:tbl>
      <w:tblPr>
        <w:tblW w:type="auto" w:w="0"/>
        <w:jc w:val="center"/>
        <w:tblLayout w:type="fixed"/>
        <w:tblLook w:firstColumn="1" w:firstRow="1" w:lastColumn="0" w:lastRow="0" w:noHBand="0" w:noVBand="1" w:val="04A0"/>
      </w:tblPr>
      <w:tblGrid>
        <w:gridCol w:w="2736"/>
        <w:gridCol w:w="1872"/>
        <w:gridCol w:w="5558"/>
      </w:tblGrid>
      <w:tr>
        <w:trPr>
          <w:tblHeader/>
          <w:cantSplit/>
        </w:trPr>
        <w:tc>
          <w:tcPr>
            <w:tcW w:type="dxa" w:w="273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Piece</w:t>
            </w:r>
          </w:p>
        </w:tc>
        <w:tc>
          <w:tcPr>
            <w:tcW w:type="dxa" w:w="1872"/>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Magic attack</w:t>
            </w:r>
          </w:p>
        </w:tc>
        <w:tc>
          <w:tcPr>
            <w:tcW w:type="dxa" w:w="5558"/>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Defence S / L / C / M / R / Su</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hood</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0 / 0 / 0 / 3 / 0 / 3</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top</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0 / 0 / 0 / 7 / 0 / 7</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Druidic bottom</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0 / 0 / 0 / 6 / 0 / 6</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hood</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1 / 1 / 3 / 0 / 4</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top</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7</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1 / 1 / 7 / 0 / 8</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Combat bottom</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6</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1 / 1 / 6 / 0 / 7</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hood</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5</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7 / 6 / 8 / 5 / 0 / 8</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top</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26</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17 / 15 / 20 / 26 / 0 / 30</w:t>
            </w:r>
          </w:p>
        </w:tc>
      </w:tr>
      <w:tr>
        <w:trPr>
          <w:cantSplit/>
        </w:trPr>
        <w:tc>
          <w:tcPr>
            <w:tcW w:type="dxa" w:w="273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bottom</w:t>
            </w:r>
          </w:p>
        </w:tc>
        <w:tc>
          <w:tcPr>
            <w:tcW w:type="dxa" w:w="1872"/>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20</w:t>
            </w:r>
          </w:p>
        </w:tc>
        <w:tc>
          <w:tcPr>
            <w:tcW w:type="dxa" w:w="5558"/>
            <w:vAlign w:val="center"/>
            <w:tcMar>
              <w:top w:w="70" w:type="dxa"/>
              <w:bottom w:w="70" w:type="dxa"/>
              <w:left w:w="95" w:type="dxa"/>
              <w:right w:w="95" w:type="dxa"/>
            </w:tcMar>
            <w:tcBorders>
              <w:bottom w:val="single" w:sz="3" w:color="D8E1E5"/>
            </w:tcBorders>
          </w:tcPr>
          <w:p>
            <w:pPr>
              <w:spacing w:after="0" w:before="0" w:line="245" w:lineRule="auto"/>
            </w:pPr>
            <w:r>
              <w:rPr>
                <w:b w:val="0"/>
                <w:sz w:val="20"/>
              </w:rPr>
              <w:t>14 / 11 / 16 / 20 / 0 / 23</w:t>
            </w:r>
          </w:p>
        </w:tc>
      </w:tr>
    </w:tbl>
    <w:p>
      <w:pPr>
        <w:spacing w:after="60" w:before="0" w:line="240" w:lineRule="auto"/>
      </w:pPr>
      <w:r>
        <w:rPr>
          <w:sz w:val="4"/>
        </w:rPr>
      </w:r>
    </w:p>
    <w:p>
      <w:r>
        <w:rPr>
          <w:b w:val="0"/>
        </w:rPr>
        <w:t xml:space="preserve">D: magic-attack set totals are </w:t>
      </w:r>
      <w:r>
        <w:rPr>
          <w:b/>
        </w:rPr>
        <w:t>16 druidic, 16 combat and 51 battle</w:t>
      </w:r>
      <w:r>
        <w:rPr>
          <w:b w:val="0"/>
        </w:rPr>
        <w:t xml:space="preserve">. Battle-set defence totals are </w:t>
      </w:r>
      <w:r>
        <w:rPr>
          <w:b/>
        </w:rPr>
        <w:t>38 / 32 / 44 / 51 / 0 / 61</w:t>
      </w:r>
      <w:r>
        <w:rPr>
          <w:b w:val="0"/>
        </w:rPr>
        <w:t xml:space="preserve"> in the stated order. A Sal's hood cell gives druidic magic defence 6 instead of 3; this table follows the manual/legacy-wiki value and preserves the conflict rather than pretending unanimity.</w:t>
      </w:r>
    </w:p>
    <w:p>
      <w:r>
        <w:rPr>
          <w:b w:val="0"/>
        </w:rPr>
        <w:t>Other robe attack styles are zero in these legacy tables. Absorption statistics are omitted rather than merged: surviving tables disagree on some percentages, and EoC-era armour is a different system. The magic-attack values do not numerically specify the set-effect accuracy or rune-saving probability.</w:t>
      </w:r>
    </w:p>
    <w:p>
      <w:bookmarkStart w:id="69" w:name="section_69"/>
      <w:pPr>
        <w:pStyle w:val="Heading2"/>
      </w:pPr>
      <w:r>
        <w:t>A.2 Coifs</w:t>
      </w:r>
      <w:bookmarkEnd w:id="69"/>
    </w:p>
    <w:tbl>
      <w:tblPr>
        <w:tblW w:type="auto" w:w="0"/>
        <w:jc w:val="center"/>
        <w:tblLayout w:type="fixed"/>
        <w:tblLook w:firstColumn="1" w:firstRow="1" w:lastColumn="0" w:lastRow="0" w:noHBand="0" w:noVBand="1" w:val="04A0"/>
      </w:tblPr>
      <w:tblGrid>
        <w:gridCol w:w="1886"/>
        <w:gridCol w:w="3139"/>
        <w:gridCol w:w="5141"/>
      </w:tblGrid>
      <w:tr>
        <w:trPr>
          <w:tblHeader/>
          <w:cantSplit/>
        </w:trPr>
        <w:tc>
          <w:tcPr>
            <w:tcW w:type="dxa" w:w="188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Coif</w:t>
            </w:r>
          </w:p>
        </w:tc>
        <w:tc>
          <w:tcPr>
            <w:tcW w:type="dxa" w:w="313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Magic / ranged attack</w:t>
            </w:r>
          </w:p>
        </w:tc>
        <w:tc>
          <w:tcPr>
            <w:tcW w:type="dxa" w:w="5141"/>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Defence S / L / C / M / R / Su</w:t>
            </w:r>
          </w:p>
        </w:tc>
      </w:tr>
      <w:tr>
        <w:trPr>
          <w:cantSplit/>
        </w:trPr>
        <w:tc>
          <w:tcPr>
            <w:tcW w:type="dxa" w:w="18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Green</w:t>
            </w:r>
          </w:p>
        </w:tc>
        <w:tc>
          <w:tcPr>
            <w:tcW w:type="dxa" w:w="313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+4</w:t>
            </w:r>
          </w:p>
        </w:tc>
        <w:tc>
          <w:tcPr>
            <w:tcW w:type="dxa" w:w="5141"/>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6 / 8 / 4 / 5 / 4</w:t>
            </w:r>
          </w:p>
        </w:tc>
      </w:tr>
      <w:tr>
        <w:trPr>
          <w:cantSplit/>
        </w:trPr>
        <w:tc>
          <w:tcPr>
            <w:tcW w:type="dxa" w:w="18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Blue</w:t>
            </w:r>
          </w:p>
        </w:tc>
        <w:tc>
          <w:tcPr>
            <w:tcW w:type="dxa" w:w="313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+5</w:t>
            </w:r>
          </w:p>
        </w:tc>
        <w:tc>
          <w:tcPr>
            <w:tcW w:type="dxa" w:w="5141"/>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6 / 8 / 4 / 6 / 5</w:t>
            </w:r>
          </w:p>
        </w:tc>
      </w:tr>
      <w:tr>
        <w:trPr>
          <w:cantSplit/>
        </w:trPr>
        <w:tc>
          <w:tcPr>
            <w:tcW w:type="dxa" w:w="18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Red</w:t>
            </w:r>
          </w:p>
        </w:tc>
        <w:tc>
          <w:tcPr>
            <w:tcW w:type="dxa" w:w="313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+6</w:t>
            </w:r>
          </w:p>
        </w:tc>
        <w:tc>
          <w:tcPr>
            <w:tcW w:type="dxa" w:w="5141"/>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6 / 9 / 4 / 6 / 6</w:t>
            </w:r>
          </w:p>
        </w:tc>
      </w:tr>
      <w:tr>
        <w:trPr>
          <w:cantSplit/>
        </w:trPr>
        <w:tc>
          <w:tcPr>
            <w:tcW w:type="dxa" w:w="1886"/>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Black</w:t>
            </w:r>
          </w:p>
        </w:tc>
        <w:tc>
          <w:tcPr>
            <w:tcW w:type="dxa" w:w="3139"/>
            <w:vAlign w:val="center"/>
            <w:tcMar>
              <w:top w:w="70" w:type="dxa"/>
              <w:bottom w:w="70" w:type="dxa"/>
              <w:left w:w="95" w:type="dxa"/>
              <w:right w:w="95" w:type="dxa"/>
            </w:tcMar>
            <w:tcBorders>
              <w:bottom w:val="single" w:sz="3" w:color="D8E1E5"/>
            </w:tcBorders>
          </w:tcPr>
          <w:p>
            <w:pPr>
              <w:spacing w:after="0" w:before="0" w:line="245" w:lineRule="auto"/>
            </w:pPr>
            <w:r>
              <w:rPr>
                <w:b w:val="0"/>
                <w:sz w:val="20"/>
              </w:rPr>
              <w:t>-1 / +7</w:t>
            </w:r>
          </w:p>
        </w:tc>
        <w:tc>
          <w:tcPr>
            <w:tcW w:type="dxa" w:w="5141"/>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7 / 9 / 4 / 7 / 7</w:t>
            </w:r>
          </w:p>
        </w:tc>
      </w:tr>
    </w:tbl>
    <w:p>
      <w:pPr>
        <w:spacing w:after="60" w:before="0" w:line="240" w:lineRule="auto"/>
      </w:pPr>
      <w:r>
        <w:rPr>
          <w:sz w:val="4"/>
        </w:rPr>
      </w:r>
    </w:p>
    <w:p>
      <w:pPr>
        <w:pStyle w:val="Caption"/>
      </w:pPr>
      <w:r>
        <w:rPr>
          <w:b w:val="0"/>
        </w:rPr>
        <w:t>Legacy coif bonus profile [S09, S10, S13]. Royal statistics are not extrapolated from the colour sequence.</w:t>
      </w:r>
    </w:p>
    <w:p>
      <w:bookmarkStart w:id="70" w:name="section_70"/>
      <w:pPr>
        <w:pStyle w:val="Heading2"/>
      </w:pPr>
      <w:r>
        <w:t>A.3 Metal gauntlets</w:t>
      </w:r>
      <w:bookmarkEnd w:id="70"/>
    </w:p>
    <w:tbl>
      <w:tblPr>
        <w:tblW w:type="auto" w:w="0"/>
        <w:jc w:val="center"/>
        <w:tblLayout w:type="fixed"/>
        <w:tblLook w:firstColumn="1" w:firstRow="1" w:lastColumn="0" w:lastRow="0" w:noHBand="0" w:noVBand="1" w:val="04A0"/>
      </w:tblPr>
      <w:tblGrid>
        <w:gridCol w:w="2030"/>
        <w:gridCol w:w="6192"/>
        <w:gridCol w:w="1944"/>
      </w:tblGrid>
      <w:tr>
        <w:trPr>
          <w:tblHeader/>
          <w:cantSplit/>
        </w:trPr>
        <w:tc>
          <w:tcPr>
            <w:tcW w:type="dxa" w:w="203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Gauntlets</w:t>
            </w:r>
          </w:p>
        </w:tc>
        <w:tc>
          <w:tcPr>
            <w:tcW w:type="dxa" w:w="619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Defence S / L / C / M / R / Su</w:t>
            </w:r>
          </w:p>
        </w:tc>
        <w:tc>
          <w:tcPr>
            <w:tcW w:type="dxa" w:w="1944"/>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20"/>
              </w:rPr>
              <w:t>Strength</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Bronze</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2 / 3 / 3 / -1 / 2 / 2</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Iron</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3 / 4 / 4 / -1 / 3 / 3</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Steel</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4 / 5 / 5 / -1 / 4 / 4</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Black</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5 / 6 / 6 / -1 / 5 / 5</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Mithril</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6 / 7 / 7 / -1 / 6 / 6</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0</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Adamant</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8 / 9 / 9 / -1 / 8 / 8</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1</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Rune</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 / 11 / 11 / -1 / 10 / 10</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2</w:t>
            </w:r>
          </w:p>
        </w:tc>
      </w:tr>
      <w:tr>
        <w:trPr>
          <w:cantSplit/>
        </w:trPr>
        <w:tc>
          <w:tcPr>
            <w:tcW w:type="dxa" w:w="2030"/>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Dragon</w:t>
            </w:r>
          </w:p>
        </w:tc>
        <w:tc>
          <w:tcPr>
            <w:tcW w:type="dxa" w:w="6192"/>
            <w:vAlign w:val="center"/>
            <w:tcMar>
              <w:top w:w="70" w:type="dxa"/>
              <w:bottom w:w="70" w:type="dxa"/>
              <w:left w:w="95" w:type="dxa"/>
              <w:right w:w="95" w:type="dxa"/>
            </w:tcMar>
            <w:tcBorders>
              <w:bottom w:val="single" w:sz="3" w:color="D8E1E5"/>
            </w:tcBorders>
          </w:tcPr>
          <w:p>
            <w:pPr>
              <w:spacing w:after="0" w:before="0" w:line="245" w:lineRule="auto"/>
            </w:pPr>
            <w:r>
              <w:rPr>
                <w:b w:val="0"/>
                <w:sz w:val="20"/>
              </w:rPr>
              <w:t>14 / 15 / 15 / -1 / 14 / 14</w:t>
            </w:r>
          </w:p>
        </w:tc>
        <w:tc>
          <w:tcPr>
            <w:tcW w:type="dxa" w:w="1944"/>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20"/>
              </w:rPr>
              <w:t>3</w:t>
            </w:r>
          </w:p>
        </w:tc>
      </w:tr>
    </w:tbl>
    <w:p>
      <w:pPr>
        <w:spacing w:after="60" w:before="0" w:line="240" w:lineRule="auto"/>
      </w:pPr>
      <w:r>
        <w:rPr>
          <w:sz w:val="4"/>
        </w:rPr>
      </w:r>
    </w:p>
    <w:p>
      <w:pPr>
        <w:pStyle w:val="Caption"/>
      </w:pPr>
      <w:r>
        <w:rPr>
          <w:b w:val="0"/>
        </w:rPr>
        <w:t>Legacy gauntlet profile [S09, S10, S13]. Attack bonuses: melee 0; Magic -1; Ranged -1 for the listed types.</w:t>
      </w:r>
    </w:p>
    <w:p>
      <w:bookmarkStart w:id="71" w:name="section_71"/>
      <w:pPr>
        <w:pStyle w:val="Heading2"/>
      </w:pPr>
      <w:r>
        <w:t>A.4 Shields</w:t>
      </w:r>
      <w:bookmarkEnd w:id="71"/>
    </w:p>
    <w:tbl>
      <w:tblPr>
        <w:tblW w:type="auto" w:w="0"/>
        <w:jc w:val="center"/>
        <w:tblLayout w:type="fixed"/>
        <w:tblLook w:firstColumn="1" w:firstRow="1" w:lastColumn="0" w:lastRow="0" w:noHBand="0" w:noVBand="1" w:val="04A0"/>
      </w:tblPr>
      <w:tblGrid>
        <w:gridCol w:w="2117"/>
        <w:gridCol w:w="2016"/>
        <w:gridCol w:w="4853"/>
        <w:gridCol w:w="1181"/>
      </w:tblGrid>
      <w:tr>
        <w:trPr>
          <w:tblHeader/>
          <w:cantSplit/>
        </w:trPr>
        <w:tc>
          <w:tcPr>
            <w:tcW w:type="dxa" w:w="2117"/>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19"/>
              </w:rPr>
              <w:t>Shield</w:t>
            </w:r>
          </w:p>
        </w:tc>
        <w:tc>
          <w:tcPr>
            <w:tcW w:type="dxa" w:w="2016"/>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19"/>
              </w:rPr>
              <w:t>Magic / ranged attack</w:t>
            </w:r>
          </w:p>
        </w:tc>
        <w:tc>
          <w:tcPr>
            <w:tcW w:type="dxa" w:w="4853"/>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19"/>
              </w:rPr>
              <w:t>Defence S / L / C / M / R / Su</w:t>
            </w:r>
          </w:p>
        </w:tc>
        <w:tc>
          <w:tcPr>
            <w:tcW w:type="dxa" w:w="1181"/>
            <w:vAlign w:val="center"/>
            <w:tcMar>
              <w:top w:w="70" w:type="dxa"/>
              <w:bottom w:w="70" w:type="dxa"/>
              <w:left w:w="95" w:type="dxa"/>
              <w:right w:w="95" w:type="dxa"/>
            </w:tcMar>
            <w:tcBorders>
              <w:bottom w:val="single" w:sz="3" w:color="D8E1E5"/>
            </w:tcBorders>
            <w:shd w:fill="E3ECEF"/>
          </w:tcPr>
          <w:p>
            <w:pPr>
              <w:spacing w:after="0" w:before="0" w:line="245" w:lineRule="auto"/>
              <w:jc w:val="center"/>
            </w:pPr>
            <w:r>
              <w:rPr>
                <w:b/>
                <w:color w:val="183B4E"/>
                <w:sz w:val="19"/>
              </w:rPr>
              <w:t>Strength</w:t>
            </w:r>
          </w:p>
        </w:tc>
      </w:tr>
      <w:tr>
        <w:trPr>
          <w:cantSplit/>
        </w:trPr>
        <w:tc>
          <w:tcPr>
            <w:tcW w:type="dxa" w:w="2117"/>
            <w:vAlign w:val="center"/>
            <w:tcMar>
              <w:top w:w="70" w:type="dxa"/>
              <w:bottom w:w="70" w:type="dxa"/>
              <w:left w:w="95" w:type="dxa"/>
              <w:right w:w="95" w:type="dxa"/>
            </w:tcMar>
            <w:tcBorders>
              <w:bottom w:val="single" w:sz="3" w:color="D8E1E5"/>
            </w:tcBorders>
          </w:tcPr>
          <w:p>
            <w:pPr>
              <w:spacing w:after="0" w:before="0" w:line="245" w:lineRule="auto"/>
            </w:pPr>
            <w:r>
              <w:rPr>
                <w:b w:val="0"/>
                <w:sz w:val="19"/>
              </w:rPr>
              <w:t>Adamant spike</w:t>
            </w:r>
          </w:p>
        </w:tc>
        <w:tc>
          <w:tcPr>
            <w:tcW w:type="dxa" w:w="2016"/>
            <w:vAlign w:val="center"/>
            <w:tcMar>
              <w:top w:w="70" w:type="dxa"/>
              <w:bottom w:w="70" w:type="dxa"/>
              <w:left w:w="95" w:type="dxa"/>
              <w:right w:w="95" w:type="dxa"/>
            </w:tcMar>
            <w:tcBorders>
              <w:bottom w:val="single" w:sz="3" w:color="D8E1E5"/>
            </w:tcBorders>
          </w:tcPr>
          <w:p>
            <w:pPr>
              <w:spacing w:after="0" w:before="0" w:line="245" w:lineRule="auto"/>
            </w:pPr>
            <w:r>
              <w:rPr>
                <w:b w:val="0"/>
                <w:sz w:val="19"/>
              </w:rPr>
              <w:t>-6 / -2</w:t>
            </w:r>
          </w:p>
        </w:tc>
        <w:tc>
          <w:tcPr>
            <w:tcW w:type="dxa" w:w="4853"/>
            <w:vAlign w:val="center"/>
            <w:tcMar>
              <w:top w:w="70" w:type="dxa"/>
              <w:bottom w:w="70" w:type="dxa"/>
              <w:left w:w="95" w:type="dxa"/>
              <w:right w:w="95" w:type="dxa"/>
            </w:tcMar>
            <w:tcBorders>
              <w:bottom w:val="single" w:sz="3" w:color="D8E1E5"/>
            </w:tcBorders>
          </w:tcPr>
          <w:p>
            <w:pPr>
              <w:spacing w:after="0" w:before="0" w:line="245" w:lineRule="auto"/>
            </w:pPr>
            <w:r>
              <w:rPr>
                <w:b w:val="0"/>
                <w:sz w:val="19"/>
              </w:rPr>
              <w:t>25 / 27 / 23 / 0 / 25 / 26</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19"/>
              </w:rPr>
              <w:t>1</w:t>
            </w:r>
          </w:p>
        </w:tc>
      </w:tr>
      <w:tr>
        <w:trPr>
          <w:cantSplit/>
        </w:trPr>
        <w:tc>
          <w:tcPr>
            <w:tcW w:type="dxa" w:w="2117"/>
            <w:vAlign w:val="center"/>
            <w:tcMar>
              <w:top w:w="70" w:type="dxa"/>
              <w:bottom w:w="70" w:type="dxa"/>
              <w:left w:w="95" w:type="dxa"/>
              <w:right w:w="95" w:type="dxa"/>
            </w:tcMar>
            <w:tcBorders>
              <w:bottom w:val="single" w:sz="3" w:color="D8E1E5"/>
            </w:tcBorders>
          </w:tcPr>
          <w:p>
            <w:pPr>
              <w:spacing w:after="0" w:before="0" w:line="245" w:lineRule="auto"/>
            </w:pPr>
            <w:r>
              <w:rPr>
                <w:b w:val="0"/>
                <w:sz w:val="19"/>
              </w:rPr>
              <w:t>Adamant berserker</w:t>
            </w:r>
          </w:p>
        </w:tc>
        <w:tc>
          <w:tcPr>
            <w:tcW w:type="dxa" w:w="2016"/>
            <w:vAlign w:val="center"/>
            <w:tcMar>
              <w:top w:w="70" w:type="dxa"/>
              <w:bottom w:w="70" w:type="dxa"/>
              <w:left w:w="95" w:type="dxa"/>
              <w:right w:w="95" w:type="dxa"/>
            </w:tcMar>
            <w:tcBorders>
              <w:bottom w:val="single" w:sz="3" w:color="D8E1E5"/>
            </w:tcBorders>
          </w:tcPr>
          <w:p>
            <w:pPr>
              <w:spacing w:after="0" w:before="0" w:line="245" w:lineRule="auto"/>
            </w:pPr>
            <w:r>
              <w:rPr>
                <w:b w:val="0"/>
                <w:sz w:val="19"/>
              </w:rPr>
              <w:t>-8 / -2</w:t>
            </w:r>
          </w:p>
        </w:tc>
        <w:tc>
          <w:tcPr>
            <w:tcW w:type="dxa" w:w="4853"/>
            <w:vAlign w:val="center"/>
            <w:tcMar>
              <w:top w:w="70" w:type="dxa"/>
              <w:bottom w:w="70" w:type="dxa"/>
              <w:left w:w="95" w:type="dxa"/>
              <w:right w:w="95" w:type="dxa"/>
            </w:tcMar>
            <w:tcBorders>
              <w:bottom w:val="single" w:sz="3" w:color="D8E1E5"/>
            </w:tcBorders>
          </w:tcPr>
          <w:p>
            <w:pPr>
              <w:spacing w:after="0" w:before="0" w:line="245" w:lineRule="auto"/>
            </w:pPr>
            <w:r>
              <w:rPr>
                <w:b w:val="0"/>
                <w:sz w:val="19"/>
              </w:rPr>
              <w:t>28 / 32 / 30 / -1 / 30 / 31</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19"/>
              </w:rPr>
              <w:t>2</w:t>
            </w:r>
          </w:p>
        </w:tc>
      </w:tr>
      <w:tr>
        <w:trPr>
          <w:cantSplit/>
        </w:trPr>
        <w:tc>
          <w:tcPr>
            <w:tcW w:type="dxa" w:w="2117"/>
            <w:vAlign w:val="center"/>
            <w:tcMar>
              <w:top w:w="70" w:type="dxa"/>
              <w:bottom w:w="70" w:type="dxa"/>
              <w:left w:w="95" w:type="dxa"/>
              <w:right w:w="95" w:type="dxa"/>
            </w:tcMar>
            <w:tcBorders>
              <w:bottom w:val="single" w:sz="3" w:color="D8E1E5"/>
            </w:tcBorders>
          </w:tcPr>
          <w:p>
            <w:pPr>
              <w:spacing w:after="0" w:before="0" w:line="245" w:lineRule="auto"/>
            </w:pPr>
            <w:r>
              <w:rPr>
                <w:b w:val="0"/>
                <w:sz w:val="19"/>
              </w:rPr>
              <w:t>Rune spike</w:t>
            </w:r>
          </w:p>
        </w:tc>
        <w:tc>
          <w:tcPr>
            <w:tcW w:type="dxa" w:w="2016"/>
            <w:vAlign w:val="center"/>
            <w:tcMar>
              <w:top w:w="70" w:type="dxa"/>
              <w:bottom w:w="70" w:type="dxa"/>
              <w:left w:w="95" w:type="dxa"/>
              <w:right w:w="95" w:type="dxa"/>
            </w:tcMar>
            <w:tcBorders>
              <w:bottom w:val="single" w:sz="3" w:color="D8E1E5"/>
            </w:tcBorders>
          </w:tcPr>
          <w:p>
            <w:pPr>
              <w:spacing w:after="0" w:before="0" w:line="245" w:lineRule="auto"/>
            </w:pPr>
            <w:r>
              <w:rPr>
                <w:b w:val="0"/>
                <w:sz w:val="19"/>
              </w:rPr>
              <w:t>-6 / -2</w:t>
            </w:r>
          </w:p>
        </w:tc>
        <w:tc>
          <w:tcPr>
            <w:tcW w:type="dxa" w:w="4853"/>
            <w:vAlign w:val="center"/>
            <w:tcMar>
              <w:top w:w="70" w:type="dxa"/>
              <w:bottom w:w="70" w:type="dxa"/>
              <w:left w:w="95" w:type="dxa"/>
              <w:right w:w="95" w:type="dxa"/>
            </w:tcMar>
            <w:tcBorders>
              <w:bottom w:val="single" w:sz="3" w:color="D8E1E5"/>
            </w:tcBorders>
          </w:tcPr>
          <w:p>
            <w:pPr>
              <w:spacing w:after="0" w:before="0" w:line="245" w:lineRule="auto"/>
            </w:pPr>
            <w:r>
              <w:rPr>
                <w:b w:val="0"/>
                <w:sz w:val="19"/>
              </w:rPr>
              <w:t>39 / 41 / 37 / 0 / 39 / 36</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19"/>
              </w:rPr>
              <w:t>3</w:t>
            </w:r>
          </w:p>
        </w:tc>
      </w:tr>
      <w:tr>
        <w:trPr>
          <w:cantSplit/>
        </w:trPr>
        <w:tc>
          <w:tcPr>
            <w:tcW w:type="dxa" w:w="2117"/>
            <w:vAlign w:val="center"/>
            <w:tcMar>
              <w:top w:w="70" w:type="dxa"/>
              <w:bottom w:w="70" w:type="dxa"/>
              <w:left w:w="95" w:type="dxa"/>
              <w:right w:w="95" w:type="dxa"/>
            </w:tcMar>
            <w:tcBorders>
              <w:bottom w:val="single" w:sz="3" w:color="D8E1E5"/>
            </w:tcBorders>
          </w:tcPr>
          <w:p>
            <w:pPr>
              <w:spacing w:after="0" w:before="0" w:line="245" w:lineRule="auto"/>
            </w:pPr>
            <w:r>
              <w:rPr>
                <w:b w:val="0"/>
                <w:sz w:val="19"/>
              </w:rPr>
              <w:t>Rune berserker</w:t>
            </w:r>
          </w:p>
        </w:tc>
        <w:tc>
          <w:tcPr>
            <w:tcW w:type="dxa" w:w="2016"/>
            <w:vAlign w:val="center"/>
            <w:tcMar>
              <w:top w:w="70" w:type="dxa"/>
              <w:bottom w:w="70" w:type="dxa"/>
              <w:left w:w="95" w:type="dxa"/>
              <w:right w:w="95" w:type="dxa"/>
            </w:tcMar>
            <w:tcBorders>
              <w:bottom w:val="single" w:sz="3" w:color="D8E1E5"/>
            </w:tcBorders>
          </w:tcPr>
          <w:p>
            <w:pPr>
              <w:spacing w:after="0" w:before="0" w:line="245" w:lineRule="auto"/>
            </w:pPr>
            <w:r>
              <w:rPr>
                <w:b w:val="0"/>
                <w:sz w:val="19"/>
              </w:rPr>
              <w:t>-8 / -2</w:t>
            </w:r>
          </w:p>
        </w:tc>
        <w:tc>
          <w:tcPr>
            <w:tcW w:type="dxa" w:w="4853"/>
            <w:vAlign w:val="center"/>
            <w:tcMar>
              <w:top w:w="70" w:type="dxa"/>
              <w:bottom w:w="70" w:type="dxa"/>
              <w:left w:w="95" w:type="dxa"/>
              <w:right w:w="95" w:type="dxa"/>
            </w:tcMar>
            <w:tcBorders>
              <w:bottom w:val="single" w:sz="3" w:color="D8E1E5"/>
            </w:tcBorders>
          </w:tcPr>
          <w:p>
            <w:pPr>
              <w:spacing w:after="0" w:before="0" w:line="245" w:lineRule="auto"/>
            </w:pPr>
            <w:r>
              <w:rPr>
                <w:b w:val="0"/>
                <w:sz w:val="19"/>
              </w:rPr>
              <w:t>45 / 49 / 47 / -1 / 47 / 41</w:t>
            </w:r>
          </w:p>
        </w:tc>
        <w:tc>
          <w:tcPr>
            <w:tcW w:type="dxa" w:w="1181"/>
            <w:vAlign w:val="center"/>
            <w:tcMar>
              <w:top w:w="70" w:type="dxa"/>
              <w:bottom w:w="70" w:type="dxa"/>
              <w:left w:w="95" w:type="dxa"/>
              <w:right w:w="95" w:type="dxa"/>
            </w:tcMar>
            <w:tcBorders>
              <w:bottom w:val="single" w:sz="3" w:color="D8E1E5"/>
            </w:tcBorders>
          </w:tcPr>
          <w:p>
            <w:pPr>
              <w:spacing w:after="0" w:before="0" w:line="245" w:lineRule="auto"/>
              <w:jc w:val="center"/>
            </w:pPr>
            <w:r>
              <w:rPr>
                <w:b w:val="0"/>
                <w:sz w:val="19"/>
              </w:rPr>
              <w:t>4</w:t>
            </w:r>
          </w:p>
        </w:tc>
      </w:tr>
    </w:tbl>
    <w:p>
      <w:pPr>
        <w:spacing w:after="60" w:before="0" w:line="240" w:lineRule="auto"/>
      </w:pPr>
      <w:r>
        <w:rPr>
          <w:sz w:val="4"/>
        </w:rPr>
      </w:r>
    </w:p>
    <w:p>
      <w:pPr>
        <w:pStyle w:val="Caption"/>
      </w:pPr>
      <w:r>
        <w:rPr>
          <w:b w:val="0"/>
        </w:rPr>
        <w:t>Legacy shield bonuses [S09, S10, S13]. These are not the 2013 rebalanced statistics.</w:t>
      </w:r>
    </w:p>
    <w:p>
      <w:bookmarkStart w:id="72" w:name="section_72"/>
      <w:pPr>
        <w:pStyle w:val="Heading1"/>
      </w:pPr>
      <w:r>
        <w:t>Appendix B. Conflicts and unknown parameters</w:t>
      </w:r>
      <w:bookmarkEnd w:id="72"/>
    </w:p>
    <w:tbl>
      <w:tblPr>
        <w:tblW w:type="auto" w:w="0"/>
        <w:jc w:val="center"/>
        <w:tblLayout w:type="fixed"/>
        <w:tblLook w:firstColumn="1" w:firstRow="1" w:lastColumn="0" w:lastRow="0" w:noHBand="0" w:noVBand="1" w:val="04A0"/>
      </w:tblPr>
      <w:tblGrid>
        <w:gridCol w:w="2045"/>
        <w:gridCol w:w="3931"/>
        <w:gridCol w:w="4190"/>
      </w:tblGrid>
      <w:tr>
        <w:trPr>
          <w:tblHeader/>
          <w:cantSplit/>
        </w:trPr>
        <w:tc>
          <w:tcPr>
            <w:tcW w:type="dxa" w:w="204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Issue</w:t>
            </w:r>
          </w:p>
        </w:tc>
        <w:tc>
          <w:tcPr>
            <w:tcW w:type="dxa" w:w="3931"/>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Competing evidence</w:t>
            </w:r>
          </w:p>
        </w:tc>
        <w:tc>
          <w:tcPr>
            <w:tcW w:type="dxa" w:w="4190"/>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Required treatment</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 zones</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Six-value 3/6/10/15/21/28 sequence versus a reported 5-charge tile.</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Keep observations; do not invent an exhaustive radial formula.</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 clock</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About 3 seconds; no authenticated first-pulse/reset logic.</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Separate period, phase and event order.</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Ambient damage</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Flat 10/20 LP per 18 seconds versus the supplied 2%/5% claim.</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Keep incompatible profiles; do not install a mixed rule.</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House damage</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10% entry, 30 LP/5 s, 30-40 damage and about 10 LP/s.</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Versioned entry/occupancy/ambient components.</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Portal success</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About 50% versus about 90%.</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averaged probability or invented destination distribution.</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Bandage healing</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candidate 150 LP versus supplied 15%-of-max claim.</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 not promote a later percentage or convert units without validating the rule.</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Hunted combat</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Historical Lunar whitelist / melee-ranged descriptions versus friend's Magic-only claim.</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Validate role, equipped, carried and stone-absent states independently.</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Healing legality</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Target spells and later blacklist are different evidence.</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Exclude later rules; do not assume every older healing effect was allowed.</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Token payout</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Charges/skill dependency, 1 versus 1-3 consolation, &gt;1,000 condition.</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closed formula or universal minimum inferred.</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Forfeit compensation</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150 or 500 charges reported.</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Do not choose without the missing condition.</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Robe repair</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High/low profiles; a reduction is confirmed on 3 Dec 2009.</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Lower target candidate; exact cells and handler still need 727 evidence.</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hood purchase</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250 in legacy tables, 500 in an August 2015 shop entry.</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Maintain both price profiles.</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Battle robe proc</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Small test around 15%; untraced Jagex-attributed 20%.</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Reported probabilities, not official confirmation.</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Dragon gloves XP</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Older 10% versus later 15%.</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Era/effect conflict, not additive bonuses.</w:t>
            </w:r>
          </w:p>
        </w:tc>
      </w:tr>
      <w:tr>
        <w:trPr>
          <w:cantSplit/>
        </w:trPr>
        <w:tc>
          <w:tcPr>
            <w:tcW w:type="dxa" w:w="20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Hybrid acquisition</w:t>
            </w:r>
          </w:p>
        </w:tc>
        <w:tc>
          <w:tcPr>
            <w:tcW w:type="dxa" w:w="3931"/>
            <w:vAlign w:val="center"/>
            <w:tcMar>
              <w:top w:w="70" w:type="dxa"/>
              <w:bottom w:w="70" w:type="dxa"/>
              <w:left w:w="95" w:type="dxa"/>
              <w:right w:w="95" w:type="dxa"/>
            </w:tcMar>
            <w:tcBorders>
              <w:bottom w:val="single" w:sz="3" w:color="D8E1E5"/>
            </w:tcBorders>
          </w:tcPr>
          <w:p>
            <w:pPr>
              <w:spacing w:after="0" w:before="0" w:line="245" w:lineRule="auto"/>
            </w:pPr>
            <w:r>
              <w:rPr>
                <w:b w:val="0"/>
                <w:sz w:val="20"/>
              </w:rPr>
              <w:t>Around 150 wins; chance-based descriptions.</w:t>
            </w:r>
          </w:p>
        </w:tc>
        <w:tc>
          <w:tcPr>
            <w:tcW w:type="dxa" w:w="4190"/>
            <w:vAlign w:val="center"/>
            <w:tcMar>
              <w:top w:w="70" w:type="dxa"/>
              <w:bottom w:w="70" w:type="dxa"/>
              <w:left w:w="95" w:type="dxa"/>
              <w:right w:w="95" w:type="dxa"/>
            </w:tcMar>
            <w:tcBorders>
              <w:bottom w:val="single" w:sz="3" w:color="D8E1E5"/>
            </w:tcBorders>
          </w:tcPr>
          <w:p>
            <w:pPr>
              <w:spacing w:after="0" w:before="0" w:line="245" w:lineRule="auto"/>
            </w:pPr>
            <w:r>
              <w:rPr>
                <w:b w:val="0"/>
                <w:sz w:val="20"/>
              </w:rPr>
              <w:t>Neither guaranteed at 150 nor 1/150 chance.</w:t>
            </w:r>
          </w:p>
        </w:tc>
      </w:tr>
    </w:tbl>
    <w:p>
      <w:pPr>
        <w:spacing w:after="60" w:before="0" w:line="240" w:lineRule="auto"/>
      </w:pPr>
      <w:r>
        <w:rPr>
          <w:sz w:val="4"/>
        </w:rPr>
      </w:r>
    </w:p>
    <w:p>
      <w:pPr>
        <w:pStyle w:val="Caption"/>
      </w:pPr>
      <w:r>
        <w:rPr>
          <w:b w:val="0"/>
        </w:rPr>
        <w:t>Evidence is detailed at the relevant section and source entry. "Unknown" is a deliberate data state, not permission to fill in a plausible number.</w:t>
      </w:r>
    </w:p>
    <w:p>
      <w:r>
        <w:t>Additional target checks: exact 727 arena/collision map; pairing and map allocation; roles and spawns; respawn delay; every stat-drain coefficient; portal destination and debit ordering; poison/cooldown resets; per-era XP; rating and token equations; special death/disconnect ordering; rune-saving overlap; royal coif and hybrid-glove definitions. Older candidate coordinates and IDs are indexed in section 15, not counted as verified target data.</w:t>
      </w:r>
    </w:p>
    <w:p>
      <w:bookmarkStart w:id="73" w:name="section_73"/>
      <w:pPr>
        <w:pStyle w:val="Heading1"/>
      </w:pPr>
      <w:r>
        <w:t>Appendix C. Validation plan for unresolved mechanics</w:t>
      </w:r>
      <w:bookmarkEnd w:id="73"/>
    </w:p>
    <w:p>
      <w:r>
        <w:rPr>
          <w:b w:val="0"/>
        </w:rPr>
        <w:t>The following are proposed experiments and analysis methods. They are not tests already performed. Record the game version, world type, combat mode, equipment, skill levels and all relevant counters before every trial. Screenshots alone can miss event order; timestamped recordings or instrumented authorized test environments are more useful.</w:t>
      </w:r>
    </w:p>
    <w:p>
      <w:pPr/>
      <w:r>
        <w:t>Artifact audit first: identify the matching 727 live cache and script provenance, then compare candidate IDs and fields from section 15. Client scripts, server scripts and reconstructed emulator source must be labeled separately. Cache presence and UI output are not substitutes for a server-side behavior test.</w:t>
      </w:r>
    </w:p>
    <w:p>
      <w:bookmarkStart w:id="74" w:name="section_74"/>
      <w:pPr>
        <w:pStyle w:val="Heading2"/>
      </w:pPr>
      <w:r>
        <w:t>C.1 Charge map and pulse phase</w:t>
      </w:r>
      <w:bookmarkEnd w:id="74"/>
    </w:p>
    <w:p>
      <w:r>
        <w:rPr>
          <w:b w:val="0"/>
        </w:rPr>
        <w:t>First map known traversable tiles on several radial and diagonal paths. At each stationary tile, equip the stone and record at least ten successive increments, including the first timestamp. Repeat the same tile after walking, house exit, equipment toggling and teleporting. Distinguish coordinate boundaries from visual ground colour. A complete tile map is stronger evidence than fitting a circle through a few observations.</w:t>
      </w:r>
    </w:p>
    <w:p>
      <w:r>
        <w:rPr>
          <w:b w:val="0"/>
        </w:rPr>
        <w:t>For pulse phase, compare arrival-to-first-pulse delays across trials. A player-local timer restarted on equipping, a persistent match timer and a world-synchronized timer predict different patterns. Record score and health in the same sequence to test the six-event ambient-damage candidate.</w:t>
      </w:r>
    </w:p>
    <w:p>
      <w:bookmarkStart w:id="75" w:name="section_75"/>
      <w:pPr>
        <w:pStyle w:val="Heading2"/>
      </w:pPr>
      <w:r>
        <w:t>C.2 House and damage experiments</w:t>
      </w:r>
      <w:bookmarkEnd w:id="75"/>
    </w:p>
    <w:p>
      <w:r>
        <w:rPr>
          <w:b w:val="0"/>
        </w:rPr>
        <w:t>Enter at different known maximum and current health values, then remain for several five-second intervals. Test 10% of current versus maximum health, fixed damage, rounding and lethal entry. Repeat without a stone if allowed. After leaving, attempt re-entry to the same and a different house at 19, 20 and 21 seconds to distinguish a global player cooldown from a per-house cooldown.</w:t>
      </w:r>
    </w:p>
    <w:p>
      <w:r>
        <w:rPr>
          <w:b w:val="0"/>
        </w:rPr>
        <w:t>To separate ambient and house damage, align entry just before and just after an expected ambient event. A new damage stream, a replacement stream and a reset counter should produce different timelines. Change charge regions shortly before the sixth event to test whether the threshold uses the latest increment or another state.</w:t>
      </w:r>
    </w:p>
    <w:p>
      <w:bookmarkStart w:id="76" w:name="section_76"/>
      <w:pPr>
        <w:pStyle w:val="Heading2"/>
      </w:pPr>
      <w:r>
        <w:t>C.3 Portal probability</w:t>
      </w:r>
      <w:bookmarkEnd w:id="76"/>
    </w:p>
    <w:p>
      <w:r>
        <w:rPr>
          <w:b w:val="0"/>
        </w:rPr>
        <w:t>Log each activation: origin, charges before/after, destination, failure classification, equipment and health. Do not define success by whether the escape was tactically useful; define it by arriving inside a house. Use the same definition for every trial. Test failed activations for debit/refund and test source/destination frequency separately.</w:t>
      </w:r>
    </w:p>
    <w:p>
      <w:r>
        <w:rPr>
          <w:b w:val="0"/>
        </w:rPr>
        <w:t xml:space="preserve">D: for n independent Bernoulli trials, approximate standard error is sqrt(p(1-p)/n). At </w:t>
      </w:r>
      <w:r>
        <w:rPr>
          <w:b/>
        </w:rPr>
        <w:t>400 trials</w:t>
      </w:r>
      <w:r>
        <w:rPr>
          <w:b w:val="0"/>
        </w:rPr>
        <w:t xml:space="preserve">, the worst-case standard error at p=.5 is </w:t>
      </w:r>
      <w:r>
        <w:rPr>
          <w:b/>
        </w:rPr>
        <w:t>2.5 percentage points</w:t>
      </w:r>
      <w:r>
        <w:rPr>
          <w:b w:val="0"/>
        </w:rPr>
        <w:t>, giving an approximate 95% interval of +/-4.9 points. This readily separates .5 from .9 if the conditions are stable. For rare exceptions or dependent trials, use an appropriate binomial interval and a larger design rather than quoting a false exact percentage.</w:t>
      </w:r>
    </w:p>
    <w:p>
      <w:bookmarkStart w:id="77" w:name="section_77"/>
      <w:pPr>
        <w:pStyle w:val="Heading2"/>
      </w:pPr>
      <w:r>
        <w:t>C.4 Rewards and result processing</w:t>
      </w:r>
      <w:bookmarkEnd w:id="77"/>
    </w:p>
    <w:p>
      <w:r>
        <w:rPr>
          <w:b w:val="0"/>
        </w:rPr>
        <w:t>Collect a matrix of own charges, opponent charges, both total levels, combat levels, prior rating, winner/loser state, token result and rating delta. Vary one input at a time where possible. Include exact ties, scores immediately below/at/above 1,000, the cap, quits before either hunted turn, and repeated forfeits. Thaler is excluded from the 727 target.</w:t>
      </w:r>
    </w:p>
    <w:p>
      <w:r>
        <w:rPr>
          <w:b w:val="0"/>
        </w:rPr>
        <w:t>Fit candidate token functions only after collecting data. Check integer rounding boundaries, caps and held-out matches. A function that matches ten observations is not necessarily the original formula. Equally good fits should remain alternatives until a discriminating case is tested.</w:t>
      </w:r>
    </w:p>
    <w:p>
      <w:bookmarkStart w:id="78" w:name="section_78"/>
      <w:pPr>
        <w:pStyle w:val="Heading2"/>
      </w:pPr>
      <w:r>
        <w:t>C.5 Reward-item effects</w:t>
      </w:r>
      <w:bookmarkEnd w:id="78"/>
    </w:p>
    <w:p>
      <w:r>
        <w:rPr>
          <w:b w:val="0"/>
        </w:rPr>
        <w:t>For robe saving, distinguish spell attempts, successful casts, rune types and actual quantities consumed. Test robes alone, staff alone and both together. Keep proc counts separate from saved-rune counts. For herb gloves, distinguish forced target drops, naturally rolled target drops and multiple-item outcomes; inspect the glove counter after each. For all gloves, test mismatched actions as negative controls.</w:t>
      </w:r>
    </w:p>
    <w:p>
      <w:bookmarkStart w:id="79" w:name="section_79"/>
      <w:pPr>
        <w:pStyle w:val="Heading1"/>
      </w:pPr>
      <w:r>
        <w:t>Appendix D. Formula sheet and implementation guardrails</w:t>
      </w:r>
      <w:bookmarkEnd w:id="79"/>
    </w:p>
    <w:tbl>
      <w:tblPr>
        <w:tblW w:type="auto" w:w="0"/>
        <w:jc w:val="center"/>
        <w:tblLayout w:type="fixed"/>
        <w:tblLook w:firstColumn="1" w:firstRow="1" w:lastColumn="0" w:lastRow="0" w:noHBand="0" w:noVBand="1" w:val="04A0"/>
      </w:tblPr>
      <w:tblGrid>
        <w:gridCol w:w="2419"/>
        <w:gridCol w:w="3902"/>
        <w:gridCol w:w="3845"/>
      </w:tblGrid>
      <w:tr>
        <w:trPr>
          <w:tblHeader/>
          <w:cantSplit/>
        </w:trPr>
        <w:tc>
          <w:tcPr>
            <w:tcW w:type="dxa" w:w="2419"/>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Calculation</w:t>
            </w:r>
          </w:p>
        </w:tc>
        <w:tc>
          <w:tcPr>
            <w:tcW w:type="dxa" w:w="3902"/>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Formula / result</w:t>
            </w:r>
          </w:p>
        </w:tc>
        <w:tc>
          <w:tcPr>
            <w:tcW w:type="dxa" w:w="3845"/>
            <w:vAlign w:val="center"/>
            <w:tcMar>
              <w:top w:w="70" w:type="dxa"/>
              <w:bottom w:w="70" w:type="dxa"/>
              <w:left w:w="95" w:type="dxa"/>
              <w:right w:w="95" w:type="dxa"/>
            </w:tcMar>
            <w:tcBorders>
              <w:bottom w:val="single" w:sz="3" w:color="D8E1E5"/>
            </w:tcBorders>
            <w:shd w:fill="E3ECEF"/>
          </w:tcPr>
          <w:p>
            <w:pPr>
              <w:spacing w:after="0" w:before="0" w:line="245" w:lineRule="auto"/>
            </w:pPr>
            <w:r>
              <w:rPr>
                <w:b/>
                <w:color w:val="183B4E"/>
                <w:sz w:val="20"/>
              </w:rPr>
              <w:t>Qualification</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Charge rate</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20r charges/minute</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Exactly 3-second periodic model.</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Pulses to target</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ceil(target / r)</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spending or rate changes.</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Centre cap</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ceil(5000/28) = 179 pulses</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Final displayed overshoot/clamp unverified.</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Centre cap time</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534-537 seconds</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First-pulse phase 0-3 seconds; uninterrupted.</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Mixed 15/28 rate</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C = 3000 + 13n over 200 pulses</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No portal cost; n centre pulses.</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Portal opportunity cost</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20 + 28k</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k centre pulses missed.</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Rune-limited casts</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min(floor(E/e), floor(K/k))</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Positive costs, no saving/substitution; remaining supplies.</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Herb substitution model</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P(target) = h(0.5 + 0.5q)</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Eligible single-roll model only.</w:t>
            </w:r>
          </w:p>
        </w:tc>
      </w:tr>
      <w:tr>
        <w:trPr>
          <w:cantSplit/>
        </w:trPr>
        <w:tc>
          <w:tcPr>
            <w:tcW w:type="dxa" w:w="2419"/>
            <w:vAlign w:val="center"/>
            <w:tcMar>
              <w:top w:w="70" w:type="dxa"/>
              <w:bottom w:w="70" w:type="dxa"/>
              <w:left w:w="95" w:type="dxa"/>
              <w:right w:w="95" w:type="dxa"/>
            </w:tcMar>
            <w:tcBorders>
              <w:bottom w:val="single" w:sz="3" w:color="D8E1E5"/>
            </w:tcBorders>
          </w:tcPr>
          <w:p>
            <w:pPr>
              <w:spacing w:after="0" w:before="0" w:line="245" w:lineRule="auto"/>
            </w:pPr>
            <w:r>
              <w:rPr>
                <w:b w:val="0"/>
                <w:sz w:val="20"/>
              </w:rPr>
              <w:t>Two independent proc events</w:t>
            </w:r>
          </w:p>
        </w:tc>
        <w:tc>
          <w:tcPr>
            <w:tcW w:type="dxa" w:w="3902"/>
            <w:vAlign w:val="center"/>
            <w:tcMar>
              <w:top w:w="70" w:type="dxa"/>
              <w:bottom w:w="70" w:type="dxa"/>
              <w:left w:w="95" w:type="dxa"/>
              <w:right w:w="95" w:type="dxa"/>
            </w:tcMar>
            <w:tcBorders>
              <w:bottom w:val="single" w:sz="3" w:color="D8E1E5"/>
            </w:tcBorders>
          </w:tcPr>
          <w:p>
            <w:pPr>
              <w:spacing w:after="0" w:before="0" w:line="245" w:lineRule="auto"/>
            </w:pPr>
            <w:r>
              <w:rPr>
                <w:b w:val="0"/>
                <w:sz w:val="20"/>
              </w:rPr>
              <w:t>P(any) = 1 - (1-p1)(1-p2)</w:t>
            </w:r>
          </w:p>
        </w:tc>
        <w:tc>
          <w:tcPr>
            <w:tcW w:type="dxa" w:w="3845"/>
            <w:vAlign w:val="center"/>
            <w:tcMar>
              <w:top w:w="70" w:type="dxa"/>
              <w:bottom w:w="70" w:type="dxa"/>
              <w:left w:w="95" w:type="dxa"/>
              <w:right w:w="95" w:type="dxa"/>
            </w:tcMar>
            <w:tcBorders>
              <w:bottom w:val="single" w:sz="3" w:color="D8E1E5"/>
            </w:tcBorders>
          </w:tcPr>
          <w:p>
            <w:pPr>
              <w:spacing w:after="0" w:before="0" w:line="245" w:lineRule="auto"/>
            </w:pPr>
            <w:r>
              <w:rPr>
                <w:b w:val="0"/>
                <w:sz w:val="20"/>
              </w:rPr>
              <w:t>Independence is not established for robe/staff.</w:t>
            </w:r>
          </w:p>
        </w:tc>
      </w:tr>
    </w:tbl>
    <w:p>
      <w:pPr>
        <w:spacing w:after="60" w:before="0" w:line="240" w:lineRule="auto"/>
      </w:pPr>
      <w:r>
        <w:rPr>
          <w:sz w:val="4"/>
        </w:rPr>
      </w:r>
    </w:p>
    <w:p>
      <w:r>
        <w:rPr>
          <w:b w:val="0"/>
        </w:rPr>
        <w:t xml:space="preserve">All equations in this appendix are </w:t>
      </w:r>
      <w:r>
        <w:rPr>
          <w:b/>
        </w:rPr>
        <w:t>D</w:t>
      </w:r>
      <w:r>
        <w:rPr>
          <w:b w:val="0"/>
        </w:rPr>
        <w:t>, except their cited input constants. They are suitable for consistency checks and provisional modelling, not claims that the exact server implementation has been recovered.</w:t>
      </w:r>
    </w:p>
    <w:p>
      <w:r>
        <w:t>Implementation guardrails: pin the 727 live target and artifact identities; distinguish direct code/data from older reports and placeholders; keep unknowns explicit; separate score, rating and physical tokens; never refresh supplies at role swap or end the round on hunter death; and never silently backport post-target mechanics.</w:t>
      </w:r>
    </w:p>
    <w:p>
      <w:bookmarkStart w:id="80" w:name="section_80"/>
      <w:pPr>
        <w:pStyle w:val="Heading1"/>
      </w:pPr>
      <w:r>
        <w:t>Source catalogue</w:t>
      </w:r>
      <w:bookmarkEnd w:id="80"/>
    </w:p>
    <w:p>
      <w:r>
        <w:t>The catalogue retains the 38 references from the earlier cross-era report so prior citations remain traceable. References to excluded later systems are historical comparisons, not target authority. Added entries identify the supplied report and newly checked primary announcements. Multiple pages from one wiki are not independent corroboration. Research cut-off: 25 September 2026.</w:t>
      </w:r>
    </w:p>
    <w:p>
      <w:pPr>
        <w:keepNext/>
      </w:pPr>
      <w:r>
        <w:rPr>
          <w:b w:val="0"/>
        </w:rPr>
      </w:r>
      <w:r>
        <w:rPr>
          <w:b/>
        </w:rPr>
        <w:t>[S01] Jagex - Fist of Guthix</w:t>
      </w:r>
      <w:r>
        <w:rPr>
          <w:b w:val="0"/>
        </w:rPr>
      </w:r>
    </w:p>
    <w:p>
      <w:pPr>
        <w:keepNext/>
        <w:spacing w:after="40"/>
      </w:pPr>
      <w:r>
        <w:rPr>
          <w:b w:val="0"/>
          <w:sz w:val="19"/>
        </w:rPr>
        <w:t>9 April 2008. Original release announcement; authoritative for launch and eligibility, not a hidden-formula specification.</w:t>
      </w:r>
    </w:p>
    <w:p>
      <w:pPr>
        <w:spacing w:after="100"/>
      </w:pPr>
      <w:hyperlink r:id="rId10">
        <w:r>
          <w:rPr>
            <w:color w:val="234E60"/>
          </w:rPr>
          <w:t>https://secure.runescape.com/m=news/fist-of-guthix</w:t>
        </w:r>
      </w:hyperlink>
    </w:p>
    <w:p>
      <w:pPr>
        <w:keepNext/>
      </w:pPr>
      <w:r>
        <w:rPr>
          <w:b w:val="0"/>
        </w:rPr>
      </w:r>
      <w:r>
        <w:rPr>
          <w:b/>
        </w:rPr>
        <w:t>[S02] Jagex - Fist of Guthix | Centralised Toggles</w:t>
      </w:r>
      <w:r>
        <w:rPr>
          <w:b w:val="0"/>
        </w:rPr>
      </w:r>
    </w:p>
    <w:p>
      <w:pPr>
        <w:keepNext/>
        <w:spacing w:after="40"/>
      </w:pPr>
      <w:r>
        <w:rPr>
          <w:b w:val="0"/>
          <w:sz w:val="19"/>
        </w:rPr>
        <w:t>10 August 2015. Primary version boundary for combat, lobby size, forfeits, virtual tokens and reward changes.</w:t>
      </w:r>
    </w:p>
    <w:p>
      <w:pPr>
        <w:spacing w:after="100"/>
      </w:pPr>
      <w:hyperlink r:id="rId11">
        <w:r>
          <w:rPr>
            <w:color w:val="234E60"/>
          </w:rPr>
          <w:t>https://secure.runescape.com/m=news/fist-of-guthix--centralised-toggles</w:t>
        </w:r>
      </w:hyperlink>
    </w:p>
    <w:p>
      <w:pPr>
        <w:keepNext/>
      </w:pPr>
      <w:r>
        <w:rPr>
          <w:b w:val="0"/>
        </w:rPr>
      </w:r>
      <w:r>
        <w:rPr>
          <w:b/>
        </w:rPr>
        <w:t>[S03] Jagex - New Rewards for Minigames</w:t>
      </w:r>
      <w:r>
        <w:rPr>
          <w:b w:val="0"/>
        </w:rPr>
      </w:r>
    </w:p>
    <w:p>
      <w:pPr>
        <w:keepNext/>
        <w:spacing w:after="40"/>
      </w:pPr>
      <w:r>
        <w:rPr>
          <w:b w:val="0"/>
          <w:sz w:val="19"/>
        </w:rPr>
        <w:t>23 August 2011. Primary release date and scope of hybrid armour.</w:t>
      </w:r>
    </w:p>
    <w:p>
      <w:pPr>
        <w:spacing w:after="100"/>
      </w:pPr>
      <w:hyperlink r:id="rId12">
        <w:r>
          <w:rPr>
            <w:color w:val="234E60"/>
          </w:rPr>
          <w:t>https://secure.runescape.com/m=news/new-rewards-for-minigames</w:t>
        </w:r>
      </w:hyperlink>
    </w:p>
    <w:p>
      <w:pPr>
        <w:keepNext/>
      </w:pPr>
      <w:r>
        <w:rPr>
          <w:b w:val="0"/>
        </w:rPr>
      </w:r>
      <w:r>
        <w:rPr>
          <w:b/>
        </w:rPr>
        <w:t>[S04] Jagex - Evolution of Combat: Now Live</w:t>
      </w:r>
      <w:r>
        <w:rPr>
          <w:b w:val="0"/>
        </w:rPr>
      </w:r>
    </w:p>
    <w:p>
      <w:pPr>
        <w:keepNext/>
        <w:spacing w:after="40"/>
      </w:pPr>
      <w:r>
        <w:rPr>
          <w:b w:val="0"/>
          <w:sz w:val="19"/>
        </w:rPr>
        <w:t>20 November 2012. Combat-system boundary; does not by itself establish individual Fist of Guthix formulas.</w:t>
      </w:r>
    </w:p>
    <w:p>
      <w:pPr>
        <w:spacing w:after="100"/>
      </w:pPr>
      <w:hyperlink r:id="rId13">
        <w:r>
          <w:rPr>
            <w:color w:val="234E60"/>
          </w:rPr>
          <w:t>https://secure.runescape.com/m=news/evolution-of-combat-now-live</w:t>
        </w:r>
      </w:hyperlink>
    </w:p>
    <w:p>
      <w:pPr>
        <w:keepNext/>
      </w:pPr>
      <w:r>
        <w:rPr>
          <w:b w:val="0"/>
        </w:rPr>
      </w:r>
      <w:r>
        <w:rPr>
          <w:b/>
        </w:rPr>
        <w:t>[S05] Jagex - Minigame Spotlight</w:t>
      </w:r>
      <w:r>
        <w:rPr>
          <w:b w:val="0"/>
        </w:rPr>
      </w:r>
    </w:p>
    <w:p>
      <w:pPr>
        <w:keepNext/>
        <w:spacing w:after="40"/>
      </w:pPr>
      <w:r>
        <w:rPr>
          <w:b w:val="0"/>
          <w:sz w:val="19"/>
        </w:rPr>
        <w:t>18 May 2015. Primary thaler earning rates, original rotation and coexistence with ordinary minigame rewards.</w:t>
      </w:r>
    </w:p>
    <w:p>
      <w:pPr>
        <w:spacing w:after="100"/>
      </w:pPr>
      <w:hyperlink r:id="rId14">
        <w:r>
          <w:rPr>
            <w:color w:val="234E60"/>
          </w:rPr>
          <w:t>https://secure.runescape.com/m=news/minigame-spotlight</w:t>
        </w:r>
      </w:hyperlink>
    </w:p>
    <w:p>
      <w:pPr>
        <w:keepNext/>
      </w:pPr>
      <w:r>
        <w:rPr>
          <w:b w:val="0"/>
        </w:rPr>
      </w:r>
      <w:r>
        <w:rPr>
          <w:b/>
        </w:rPr>
        <w:t>[S06] RuneScape Wiki - Fist of Guthix</w:t>
      </w:r>
      <w:r>
        <w:rPr>
          <w:b w:val="0"/>
        </w:rPr>
      </w:r>
    </w:p>
    <w:p>
      <w:pPr>
        <w:keepNext/>
        <w:spacing w:after="40"/>
      </w:pPr>
      <w:r>
        <w:rPr>
          <w:b w:val="0"/>
          <w:sz w:val="19"/>
        </w:rPr>
        <w:t>Community synthesis and patch chronology. Retrieved cached page mixes historical and later rules; not a live-server measurement.</w:t>
      </w:r>
    </w:p>
    <w:p>
      <w:pPr>
        <w:spacing w:after="100"/>
      </w:pPr>
      <w:hyperlink r:id="rId15">
        <w:r>
          <w:rPr>
            <w:color w:val="234E60"/>
          </w:rPr>
          <w:t>https://runescape.wiki/w/Fist_of_Guthix</w:t>
        </w:r>
      </w:hyperlink>
    </w:p>
    <w:p>
      <w:pPr>
        <w:keepNext/>
      </w:pPr>
      <w:r>
        <w:rPr>
          <w:b w:val="0"/>
        </w:rPr>
      </w:r>
      <w:r>
        <w:rPr>
          <w:b/>
        </w:rPr>
        <w:t>[S07] Tip.It - Fist of Guthix</w:t>
      </w:r>
      <w:r>
        <w:rPr>
          <w:b w:val="0"/>
        </w:rPr>
      </w:r>
    </w:p>
    <w:p>
      <w:pPr>
        <w:keepNext/>
        <w:spacing w:after="40"/>
      </w:pPr>
      <w:r>
        <w:rPr>
          <w:b w:val="0"/>
          <w:sz w:val="19"/>
        </w:rPr>
        <w:t>Guide last updated 16 August 2015. Detailed terrain observations and legacy reward tables remain alongside later material.</w:t>
      </w:r>
    </w:p>
    <w:p>
      <w:pPr>
        <w:spacing w:after="100"/>
      </w:pPr>
      <w:hyperlink r:id="rId16">
        <w:r>
          <w:rPr>
            <w:color w:val="234E60"/>
          </w:rPr>
          <w:t>https://www.tip.it/runescape/pages/view/fist_of_guthix.htm</w:t>
        </w:r>
      </w:hyperlink>
    </w:p>
    <w:p>
      <w:pPr>
        <w:keepNext/>
      </w:pPr>
      <w:r>
        <w:rPr>
          <w:b w:val="0"/>
        </w:rPr>
      </w:r>
      <w:r>
        <w:rPr>
          <w:b/>
        </w:rPr>
        <w:t>[S08] RuneHQ - Fist of Guthix</w:t>
      </w:r>
      <w:r>
        <w:rPr>
          <w:b w:val="0"/>
        </w:rPr>
      </w:r>
    </w:p>
    <w:p>
      <w:pPr>
        <w:keepNext/>
        <w:spacing w:after="40"/>
      </w:pPr>
      <w:r>
        <w:rPr>
          <w:b w:val="0"/>
          <w:sz w:val="19"/>
        </w:rPr>
        <w:t>Long-lived guide: supplies, roles, houses and rewards. Some entries use legacy hitpoint terminology.</w:t>
      </w:r>
    </w:p>
    <w:p>
      <w:pPr>
        <w:spacing w:after="100"/>
      </w:pPr>
      <w:hyperlink r:id="rId17">
        <w:r>
          <w:rPr>
            <w:color w:val="234E60"/>
          </w:rPr>
          <w:t>https://www.runehq.com/minigame/fist-of-guthix</w:t>
        </w:r>
      </w:hyperlink>
    </w:p>
    <w:p>
      <w:pPr>
        <w:keepNext/>
      </w:pPr>
      <w:r>
        <w:rPr>
          <w:b w:val="0"/>
        </w:rPr>
      </w:r>
      <w:r>
        <w:rPr>
          <w:b/>
        </w:rPr>
        <w:t>[S09] Sal's Realm - Fist of Guthix</w:t>
      </w:r>
      <w:r>
        <w:rPr>
          <w:b w:val="0"/>
        </w:rPr>
      </w:r>
    </w:p>
    <w:p>
      <w:pPr>
        <w:keepNext/>
        <w:spacing w:after="40"/>
      </w:pPr>
      <w:r>
        <w:rPr>
          <w:b w:val="0"/>
          <w:sz w:val="19"/>
        </w:rPr>
        <w:t>Historical independent guide with charge endpoints, equipment and reward information.</w:t>
      </w:r>
    </w:p>
    <w:p>
      <w:pPr>
        <w:spacing w:after="100"/>
      </w:pPr>
      <w:hyperlink r:id="rId18">
        <w:r>
          <w:rPr>
            <w:color w:val="234E60"/>
          </w:rPr>
          <w:t>https://runescape.salmoneus.net/activities/fist-of-guthix.html</w:t>
        </w:r>
      </w:hyperlink>
    </w:p>
    <w:p>
      <w:pPr>
        <w:keepNext/>
      </w:pPr>
      <w:r>
        <w:rPr>
          <w:b w:val="0"/>
        </w:rPr>
      </w:r>
      <w:r>
        <w:rPr>
          <w:b/>
        </w:rPr>
        <w:t>[S10] Historical RuneScape manual reproduction - Fist of Guthix</w:t>
      </w:r>
      <w:r>
        <w:rPr>
          <w:b w:val="0"/>
        </w:rPr>
      </w:r>
    </w:p>
    <w:p>
      <w:pPr>
        <w:keepNext/>
        <w:spacing w:after="40"/>
      </w:pPr>
      <w:r>
        <w:rPr>
          <w:b w:val="0"/>
          <w:sz w:val="19"/>
        </w:rPr>
        <w:t>Independently hosted reproduction of the old Jagex knowledge-base article. Useful historical wording; host is not Jagex and capture provenance is not authenticated.</w:t>
      </w:r>
    </w:p>
    <w:p>
      <w:pPr>
        <w:spacing w:after="100"/>
      </w:pPr>
      <w:hyperlink r:id="rId19">
        <w:r>
          <w:rPr>
            <w:color w:val="234E60"/>
          </w:rPr>
          <w:t>https://www.2011.rs/kb/fist_of_guthix</w:t>
        </w:r>
      </w:hyperlink>
    </w:p>
    <w:p>
      <w:pPr>
        <w:keepNext/>
      </w:pPr>
      <w:r>
        <w:rPr>
          <w:b w:val="0"/>
        </w:rPr>
      </w:r>
      <w:r>
        <w:rPr>
          <w:b/>
        </w:rPr>
        <w:t>[S11] RSCommunity - Faust des Guthix</w:t>
      </w:r>
      <w:r>
        <w:rPr>
          <w:b w:val="0"/>
        </w:rPr>
      </w:r>
    </w:p>
    <w:p>
      <w:pPr>
        <w:keepNext/>
        <w:spacing w:after="40"/>
      </w:pPr>
      <w:r>
        <w:rPr>
          <w:b w:val="0"/>
          <w:sz w:val="19"/>
        </w:rPr>
        <w:t>German community guide; published 29 September 2009, updated 22 June 2011. Firsthand strategy and teleport-targeting observations.</w:t>
      </w:r>
    </w:p>
    <w:p>
      <w:pPr>
        <w:spacing w:after="100"/>
      </w:pPr>
      <w:hyperlink r:id="rId20">
        <w:r>
          <w:rPr>
            <w:color w:val="234E60"/>
          </w:rPr>
          <w:t>https://www.rscommunity.de/index.php?id=696&amp;option=content&amp;task=view</w:t>
        </w:r>
      </w:hyperlink>
    </w:p>
    <w:p>
      <w:pPr>
        <w:keepNext/>
      </w:pPr>
      <w:r>
        <w:rPr>
          <w:b w:val="0"/>
        </w:rPr>
      </w:r>
      <w:r>
        <w:rPr>
          <w:b/>
        </w:rPr>
        <w:t>[S12] Junglebiscuit - RuneScape Fist of Guthix guide</w:t>
      </w:r>
      <w:r>
        <w:rPr>
          <w:b w:val="0"/>
        </w:rPr>
      </w:r>
    </w:p>
    <w:p>
      <w:pPr>
        <w:keepNext/>
        <w:spacing w:after="40"/>
      </w:pPr>
      <w:r>
        <w:rPr>
          <w:b w:val="0"/>
          <w:sz w:val="19"/>
        </w:rPr>
        <w:t>Posted 4 May 2010; later edit 21 June 2016. Preserves older 15-hitpoint bandage language.</w:t>
      </w:r>
    </w:p>
    <w:p>
      <w:pPr>
        <w:spacing w:after="100"/>
      </w:pPr>
      <w:hyperlink r:id="rId21">
        <w:r>
          <w:rPr>
            <w:color w:val="234E60"/>
          </w:rPr>
          <w:t>https://junglebiscuit.com/runescapefogguide/</w:t>
        </w:r>
      </w:hyperlink>
    </w:p>
    <w:p>
      <w:pPr>
        <w:keepNext/>
      </w:pPr>
      <w:r>
        <w:rPr>
          <w:b w:val="0"/>
        </w:rPr>
      </w:r>
      <w:r>
        <w:rPr>
          <w:b/>
        </w:rPr>
        <w:t>[S13] Darkan-hosted legacy wiki - Fist of Guthix</w:t>
      </w:r>
      <w:r>
        <w:rPr>
          <w:b w:val="0"/>
        </w:rPr>
      </w:r>
    </w:p>
    <w:p>
      <w:pPr>
        <w:keepNext/>
        <w:spacing w:after="40"/>
      </w:pPr>
      <w:r>
        <w:rPr>
          <w:b w:val="0"/>
          <w:sz w:val="19"/>
        </w:rPr>
        <w:t>Legacy-style wiki text on a private-server-associated host. Corroborative historical evidence only, not production RuneScape source code.</w:t>
      </w:r>
    </w:p>
    <w:p>
      <w:pPr>
        <w:spacing w:after="100"/>
      </w:pPr>
      <w:hyperlink r:id="rId22">
        <w:r>
          <w:rPr>
            <w:color w:val="234E60"/>
          </w:rPr>
          <w:t>https://wiki.darkan.org/Fist_of_Guthix</w:t>
        </w:r>
      </w:hyperlink>
    </w:p>
    <w:p>
      <w:pPr>
        <w:keepNext/>
      </w:pPr>
      <w:r>
        <w:rPr>
          <w:b w:val="0"/>
        </w:rPr>
      </w:r>
      <w:r>
        <w:rPr>
          <w:b/>
        </w:rPr>
        <w:t>[S14] Darkan-hosted legacy wiki - Stone of power</w:t>
      </w:r>
      <w:r>
        <w:rPr>
          <w:b w:val="0"/>
        </w:rPr>
      </w:r>
    </w:p>
    <w:p>
      <w:pPr>
        <w:keepNext/>
        <w:spacing w:after="40"/>
      </w:pPr>
      <w:r>
        <w:rPr>
          <w:b w:val="0"/>
          <w:sz w:val="19"/>
        </w:rPr>
        <w:t>Displayed last edit 25 June 2012; oldid 49271. Six charge values, 30 kg, two-handed stone and an 18-second damage report. Historical metadata is not independent authentication.</w:t>
      </w:r>
    </w:p>
    <w:p>
      <w:pPr>
        <w:spacing w:after="100"/>
      </w:pPr>
      <w:hyperlink r:id="rId23">
        <w:r>
          <w:rPr>
            <w:color w:val="234E60"/>
          </w:rPr>
          <w:t>https://wiki.darkan.org/Stone_of_power</w:t>
        </w:r>
      </w:hyperlink>
    </w:p>
    <w:p>
      <w:pPr>
        <w:keepNext/>
      </w:pPr>
      <w:r>
        <w:rPr>
          <w:b w:val="0"/>
        </w:rPr>
      </w:r>
      <w:r>
        <w:rPr>
          <w:b/>
        </w:rPr>
        <w:t>[S15] Darkan-hosted legacy wiki - Tele-orb</w:t>
      </w:r>
      <w:r>
        <w:rPr>
          <w:b w:val="0"/>
        </w:rPr>
      </w:r>
    </w:p>
    <w:p>
      <w:pPr>
        <w:keepNext/>
        <w:spacing w:after="40"/>
      </w:pPr>
      <w:r>
        <w:rPr>
          <w:b w:val="0"/>
          <w:sz w:val="19"/>
        </w:rPr>
        <w:t>Displayed last edit 4 May 2012; oldid 49270. Single-use teleport and usage restrictions.</w:t>
      </w:r>
    </w:p>
    <w:p>
      <w:pPr>
        <w:spacing w:after="100"/>
      </w:pPr>
      <w:hyperlink r:id="rId24">
        <w:r>
          <w:rPr>
            <w:color w:val="234E60"/>
          </w:rPr>
          <w:t>https://wiki.darkan.org/Tele-orb</w:t>
        </w:r>
      </w:hyperlink>
    </w:p>
    <w:p>
      <w:pPr>
        <w:keepNext/>
      </w:pPr>
      <w:r>
        <w:rPr>
          <w:b w:val="0"/>
        </w:rPr>
      </w:r>
      <w:r>
        <w:rPr>
          <w:b/>
        </w:rPr>
        <w:t>[S16] Darkan-hosted legacy wiki - Catalytic rune</w:t>
      </w:r>
      <w:r>
        <w:rPr>
          <w:b w:val="0"/>
        </w:rPr>
      </w:r>
    </w:p>
    <w:p>
      <w:pPr>
        <w:keepNext/>
        <w:spacing w:after="40"/>
      </w:pPr>
      <w:r>
        <w:rPr>
          <w:b w:val="0"/>
          <w:sz w:val="19"/>
        </w:rPr>
        <w:t>Displayed last edit 3 May 2012; oldid 49268. One-for-one non-elemental rune substitution.</w:t>
      </w:r>
    </w:p>
    <w:p>
      <w:pPr>
        <w:spacing w:after="100"/>
      </w:pPr>
      <w:hyperlink r:id="rId25">
        <w:r>
          <w:rPr>
            <w:color w:val="234E60"/>
          </w:rPr>
          <w:t>https://wiki.darkan.org/Catalytic_rune</w:t>
        </w:r>
      </w:hyperlink>
    </w:p>
    <w:p>
      <w:pPr>
        <w:keepNext/>
      </w:pPr>
      <w:r>
        <w:rPr>
          <w:b w:val="0"/>
        </w:rPr>
      </w:r>
      <w:r>
        <w:rPr>
          <w:b/>
        </w:rPr>
        <w:t>[S17] Darkan-hosted legacy wiki - Elemental rune</w:t>
      </w:r>
      <w:r>
        <w:rPr>
          <w:b w:val="0"/>
        </w:rPr>
      </w:r>
    </w:p>
    <w:p>
      <w:pPr>
        <w:keepNext/>
        <w:spacing w:after="40"/>
      </w:pPr>
      <w:r>
        <w:rPr>
          <w:b w:val="0"/>
          <w:sz w:val="19"/>
        </w:rPr>
        <w:t>Displayed last edit 8 July 2012; oldid 49267. One-for-one elemental rune substitution.</w:t>
      </w:r>
    </w:p>
    <w:p>
      <w:pPr>
        <w:spacing w:after="100"/>
      </w:pPr>
      <w:hyperlink r:id="rId26">
        <w:r>
          <w:rPr>
            <w:color w:val="234E60"/>
          </w:rPr>
          <w:t>https://wiki.darkan.org/Elemental_rune</w:t>
        </w:r>
      </w:hyperlink>
    </w:p>
    <w:p>
      <w:pPr>
        <w:keepNext/>
      </w:pPr>
      <w:r>
        <w:rPr>
          <w:b w:val="0"/>
        </w:rPr>
      </w:r>
      <w:r>
        <w:rPr>
          <w:b/>
        </w:rPr>
        <w:t>[S18] Tip.It - Bandages (Fist of Guthix)</w:t>
      </w:r>
      <w:r>
        <w:rPr>
          <w:b w:val="0"/>
        </w:rPr>
      </w:r>
    </w:p>
    <w:p>
      <w:pPr>
        <w:keepNext/>
        <w:spacing w:after="40"/>
      </w:pPr>
      <w:r>
        <w:rPr>
          <w:b w:val="0"/>
          <w:sz w:val="19"/>
        </w:rPr>
        <w:t>Item entry updated 17 November 2014. Legacy 150-life-point healing; distinguishes these from other minigame bandages.</w:t>
      </w:r>
    </w:p>
    <w:p>
      <w:pPr>
        <w:spacing w:after="100"/>
      </w:pPr>
      <w:hyperlink r:id="rId27">
        <w:r>
          <w:rPr>
            <w:color w:val="234E60"/>
          </w:rPr>
          <w:t>https://www.tip.it/runescape/items/view/7443-bandages-fist-of-guthix</w:t>
        </w:r>
      </w:hyperlink>
    </w:p>
    <w:p>
      <w:pPr>
        <w:keepNext/>
      </w:pPr>
      <w:r>
        <w:rPr>
          <w:b w:val="0"/>
        </w:rPr>
      </w:r>
      <w:r>
        <w:rPr>
          <w:b/>
        </w:rPr>
        <w:t>[S19] Tip.It - Fist of Guthix Reward Shop</w:t>
      </w:r>
      <w:r>
        <w:rPr>
          <w:b w:val="0"/>
        </w:rPr>
      </w:r>
    </w:p>
    <w:p>
      <w:pPr>
        <w:keepNext/>
        <w:spacing w:after="40"/>
      </w:pPr>
      <w:r>
        <w:rPr>
          <w:b w:val="0"/>
          <w:sz w:val="19"/>
        </w:rPr>
        <w:t>Updated 12 August 2015. Explicit 500-token battle hood listing conflicts with 250-token legacy tables; omissions do not prove removal.</w:t>
      </w:r>
    </w:p>
    <w:p>
      <w:pPr>
        <w:spacing w:after="100"/>
      </w:pPr>
      <w:hyperlink r:id="rId28">
        <w:r>
          <w:rPr>
            <w:color w:val="234E60"/>
          </w:rPr>
          <w:t>https://www.tip.it/runescape/shops/view/349-fist-of-guthix-reward-shop</w:t>
        </w:r>
      </w:hyperlink>
    </w:p>
    <w:p>
      <w:pPr>
        <w:keepNext/>
      </w:pPr>
      <w:r>
        <w:rPr>
          <w:b w:val="0"/>
        </w:rPr>
      </w:r>
      <w:r>
        <w:rPr>
          <w:b/>
        </w:rPr>
        <w:t>[S20] 0RadicalDylan0 - historical Fist of Guthix video description</w:t>
      </w:r>
      <w:r>
        <w:rPr>
          <w:b w:val="0"/>
        </w:rPr>
      </w:r>
    </w:p>
    <w:p>
      <w:pPr>
        <w:keepNext/>
        <w:spacing w:after="40"/>
      </w:pPr>
      <w:r>
        <w:rPr>
          <w:b w:val="0"/>
          <w:sz w:val="19"/>
        </w:rPr>
        <w:t>Early video description preserves purchase and higher recharge prices. Description inspected; footage was not frame-timed and exact upload day was not established.</w:t>
      </w:r>
    </w:p>
    <w:p>
      <w:pPr>
        <w:spacing w:after="100"/>
      </w:pPr>
      <w:hyperlink r:id="rId29">
        <w:r>
          <w:rPr>
            <w:color w:val="234E60"/>
          </w:rPr>
          <w:t>https://www.youtube.com/watch?v=-kUToVGOE8c</w:t>
        </w:r>
      </w:hyperlink>
    </w:p>
    <w:p>
      <w:pPr>
        <w:keepNext/>
      </w:pPr>
      <w:r>
        <w:rPr>
          <w:b w:val="0"/>
        </w:rPr>
      </w:r>
      <w:r>
        <w:rPr>
          <w:b/>
        </w:rPr>
        <w:t>[S21] Darkan-hosted legacy wiki - Combat robes</w:t>
      </w:r>
      <w:r>
        <w:rPr>
          <w:b w:val="0"/>
        </w:rPr>
      </w:r>
    </w:p>
    <w:p>
      <w:pPr>
        <w:keepNext/>
        <w:spacing w:after="40"/>
      </w:pPr>
      <w:r>
        <w:rPr>
          <w:b w:val="0"/>
          <w:sz w:val="19"/>
        </w:rPr>
        <w:t>Displayed last edit 21 July 2012. Full-set 7.5% rune-saving report; ambiguous charge-count wording.</w:t>
      </w:r>
    </w:p>
    <w:p>
      <w:pPr>
        <w:spacing w:after="100"/>
      </w:pPr>
      <w:hyperlink r:id="rId30">
        <w:r>
          <w:rPr>
            <w:color w:val="234E60"/>
          </w:rPr>
          <w:t>https://wiki.darkan.org/Combat_robes</w:t>
        </w:r>
      </w:hyperlink>
    </w:p>
    <w:p>
      <w:pPr>
        <w:keepNext/>
      </w:pPr>
      <w:r>
        <w:rPr>
          <w:b w:val="0"/>
        </w:rPr>
      </w:r>
      <w:r>
        <w:rPr>
          <w:b/>
        </w:rPr>
        <w:t>[S22] Darkan-hosted legacy wiki - Battle robes</w:t>
      </w:r>
      <w:r>
        <w:rPr>
          <w:b w:val="0"/>
        </w:rPr>
      </w:r>
    </w:p>
    <w:p>
      <w:pPr>
        <w:keepNext/>
        <w:spacing w:after="40"/>
      </w:pPr>
      <w:r>
        <w:rPr>
          <w:b w:val="0"/>
          <w:sz w:val="19"/>
        </w:rPr>
        <w:t>Displayed last edit 12 November 2012. Six-hour duration, 114-cast test, competing 15%/20% descriptions and Staff of light interaction.</w:t>
      </w:r>
    </w:p>
    <w:p>
      <w:pPr>
        <w:spacing w:after="100"/>
      </w:pPr>
      <w:hyperlink r:id="rId31">
        <w:r>
          <w:rPr>
            <w:color w:val="234E60"/>
          </w:rPr>
          <w:t>https://wiki.darkan.org/Battle_robes</w:t>
        </w:r>
      </w:hyperlink>
    </w:p>
    <w:p>
      <w:pPr>
        <w:keepNext/>
      </w:pPr>
      <w:r>
        <w:rPr>
          <w:b w:val="0"/>
        </w:rPr>
      </w:r>
      <w:r>
        <w:rPr>
          <w:b/>
        </w:rPr>
        <w:t>[S23] Darkan-hosted legacy wiki - Druidic mage robes</w:t>
      </w:r>
      <w:r>
        <w:rPr>
          <w:b w:val="0"/>
        </w:rPr>
      </w:r>
    </w:p>
    <w:p>
      <w:pPr>
        <w:keepNext/>
        <w:spacing w:after="40"/>
      </w:pPr>
      <w:r>
        <w:rPr>
          <w:b w:val="0"/>
          <w:sz w:val="19"/>
        </w:rPr>
        <w:t>Displayed last edit 11 November 2012. Binding accuracy rather than duration; approximate depletion estimate.</w:t>
      </w:r>
    </w:p>
    <w:p>
      <w:pPr>
        <w:spacing w:after="100"/>
      </w:pPr>
      <w:hyperlink r:id="rId32">
        <w:r>
          <w:rPr>
            <w:color w:val="234E60"/>
          </w:rPr>
          <w:t>https://wiki.darkan.org/Druidic_mage_robes</w:t>
        </w:r>
      </w:hyperlink>
    </w:p>
    <w:p>
      <w:pPr>
        <w:keepNext/>
      </w:pPr>
      <w:r>
        <w:rPr>
          <w:b w:val="0"/>
        </w:rPr>
      </w:r>
      <w:r>
        <w:rPr>
          <w:b/>
        </w:rPr>
        <w:t>[S24] RuneHQ - Battle robe top 100</w:t>
      </w:r>
      <w:r>
        <w:rPr>
          <w:b w:val="0"/>
        </w:rPr>
      </w:r>
    </w:p>
    <w:p>
      <w:pPr>
        <w:keepNext/>
        <w:spacing w:after="40"/>
      </w:pPr>
      <w:r>
        <w:rPr>
          <w:b w:val="0"/>
          <w:sz w:val="19"/>
        </w:rPr>
        <w:t>Item-specific corroboration for six-hour degradation, 150-token recharge and the Staff of light interaction. Requirement metadata is not used as a post-2015 authority.</w:t>
      </w:r>
    </w:p>
    <w:p>
      <w:pPr>
        <w:spacing w:after="100"/>
      </w:pPr>
      <w:hyperlink r:id="rId33">
        <w:r>
          <w:rPr>
            <w:color w:val="234E60"/>
          </w:rPr>
          <w:t>https://www.runehq.com/item/battle-robe-top-100</w:t>
        </w:r>
      </w:hyperlink>
    </w:p>
    <w:p>
      <w:pPr>
        <w:keepNext/>
      </w:pPr>
      <w:r>
        <w:rPr>
          <w:b w:val="0"/>
        </w:rPr>
      </w:r>
      <w:r>
        <w:rPr>
          <w:b/>
        </w:rPr>
        <w:t>[S25] RuneHQ - Druidic mage top 100</w:t>
      </w:r>
      <w:r>
        <w:rPr>
          <w:b w:val="0"/>
        </w:rPr>
      </w:r>
    </w:p>
    <w:p>
      <w:pPr>
        <w:keepNext/>
        <w:spacing w:after="40"/>
      </w:pPr>
      <w:r>
        <w:rPr>
          <w:b w:val="0"/>
          <w:sz w:val="19"/>
        </w:rPr>
        <w:t>Preserves 100-token recharge and 100/80/60/40/20 condition states; conflicts with the lower-price general-guide profile.</w:t>
      </w:r>
    </w:p>
    <w:p>
      <w:pPr>
        <w:spacing w:after="100"/>
      </w:pPr>
      <w:hyperlink r:id="rId34">
        <w:r>
          <w:rPr>
            <w:color w:val="234E60"/>
          </w:rPr>
          <w:t>https://www.runehq.com/item/druidic-mage-top-100</w:t>
        </w:r>
      </w:hyperlink>
    </w:p>
    <w:p>
      <w:pPr>
        <w:keepNext/>
      </w:pPr>
      <w:r>
        <w:rPr>
          <w:b w:val="0"/>
        </w:rPr>
      </w:r>
      <w:r>
        <w:rPr>
          <w:b/>
        </w:rPr>
        <w:t>[S26] RuneHQ - Dragon slayer gloves</w:t>
      </w:r>
      <w:r>
        <w:rPr>
          <w:b w:val="0"/>
        </w:rPr>
      </w:r>
    </w:p>
    <w:p>
      <w:pPr>
        <w:keepNext/>
        <w:spacing w:after="40"/>
      </w:pPr>
      <w:r>
        <w:rPr>
          <w:b w:val="0"/>
          <w:sz w:val="19"/>
        </w:rPr>
        <w:t>Task restriction, +10% Attack, +15% Slayer experience and 1,000-kill lifetime; excludes skeletal wyverns.</w:t>
      </w:r>
    </w:p>
    <w:p>
      <w:pPr>
        <w:spacing w:after="100"/>
      </w:pPr>
      <w:hyperlink r:id="rId35">
        <w:r>
          <w:rPr>
            <w:color w:val="234E60"/>
          </w:rPr>
          <w:t>https://www.runehq.com/item/dragon-slayer-gloves</w:t>
        </w:r>
      </w:hyperlink>
    </w:p>
    <w:p>
      <w:pPr>
        <w:keepNext/>
      </w:pPr>
      <w:r>
        <w:rPr>
          <w:b w:val="0"/>
        </w:rPr>
      </w:r>
      <w:r>
        <w:rPr>
          <w:b/>
        </w:rPr>
        <w:t>[S27] Tip.It - Dragon slayer gloves</w:t>
      </w:r>
      <w:r>
        <w:rPr>
          <w:b w:val="0"/>
        </w:rPr>
      </w:r>
    </w:p>
    <w:p>
      <w:pPr>
        <w:keepNext/>
        <w:spacing w:after="40"/>
      </w:pPr>
      <w:r>
        <w:rPr>
          <w:b w:val="0"/>
          <w:sz w:val="19"/>
        </w:rPr>
        <w:t>Updated 13 August 2015. Corroborates later effect and interaction with a black mask.</w:t>
      </w:r>
    </w:p>
    <w:p>
      <w:pPr>
        <w:spacing w:after="100"/>
      </w:pPr>
      <w:hyperlink r:id="rId36">
        <w:r>
          <w:rPr>
            <w:color w:val="234E60"/>
          </w:rPr>
          <w:t>https://www.tip.it/runescape/items/view/7441-dragon-slayer-gloves</w:t>
        </w:r>
      </w:hyperlink>
    </w:p>
    <w:p>
      <w:pPr>
        <w:keepNext/>
      </w:pPr>
      <w:r>
        <w:rPr>
          <w:b w:val="0"/>
        </w:rPr>
      </w:r>
      <w:r>
        <w:rPr>
          <w:b/>
        </w:rPr>
        <w:t>[S28] RuneHQ - Monkfish gloves</w:t>
      </w:r>
      <w:r>
        <w:rPr>
          <w:b w:val="0"/>
        </w:rPr>
      </w:r>
    </w:p>
    <w:p>
      <w:pPr>
        <w:keepNext/>
        <w:spacing w:after="40"/>
      </w:pPr>
      <w:r>
        <w:rPr>
          <w:b w:val="0"/>
          <w:sz w:val="19"/>
        </w:rPr>
        <w:t>+150 Fishing experience per corresponding catch, 1,000 catches, level 80 and 200 tokens.</w:t>
      </w:r>
    </w:p>
    <w:p>
      <w:pPr>
        <w:spacing w:after="100"/>
      </w:pPr>
      <w:hyperlink r:id="rId37">
        <w:r>
          <w:rPr>
            <w:color w:val="234E60"/>
          </w:rPr>
          <w:t>https://www.runehq.com/item/monkfish-gloves</w:t>
        </w:r>
      </w:hyperlink>
    </w:p>
    <w:p>
      <w:pPr>
        <w:keepNext/>
      </w:pPr>
      <w:r>
        <w:rPr>
          <w:b w:val="0"/>
        </w:rPr>
      </w:r>
      <w:r>
        <w:rPr>
          <w:b/>
        </w:rPr>
        <w:t>[S29] RuneHQ - Cavefish gloves</w:t>
      </w:r>
      <w:r>
        <w:rPr>
          <w:b w:val="0"/>
        </w:rPr>
      </w:r>
    </w:p>
    <w:p>
      <w:pPr>
        <w:keepNext/>
        <w:spacing w:after="40"/>
      </w:pPr>
      <w:r>
        <w:rPr>
          <w:b w:val="0"/>
          <w:sz w:val="19"/>
        </w:rPr>
        <w:t>+150 Fishing experience per corresponding catch, 1,000 catches, level 92 and 200 tokens.</w:t>
      </w:r>
    </w:p>
    <w:p>
      <w:pPr>
        <w:spacing w:after="100"/>
      </w:pPr>
      <w:hyperlink r:id="rId38">
        <w:r>
          <w:rPr>
            <w:color w:val="234E60"/>
          </w:rPr>
          <w:t>https://www.runehq.com/item/cavefish-gloves</w:t>
        </w:r>
      </w:hyperlink>
    </w:p>
    <w:p>
      <w:pPr>
        <w:keepNext/>
      </w:pPr>
      <w:r>
        <w:rPr>
          <w:b w:val="0"/>
        </w:rPr>
      </w:r>
      <w:r>
        <w:rPr>
          <w:b/>
        </w:rPr>
        <w:t>[S30] RuneHQ - Rocktail gloves</w:t>
      </w:r>
      <w:r>
        <w:rPr>
          <w:b w:val="0"/>
        </w:rPr>
      </w:r>
    </w:p>
    <w:p>
      <w:pPr>
        <w:keepNext/>
        <w:spacing w:after="40"/>
      </w:pPr>
      <w:r>
        <w:rPr>
          <w:b w:val="0"/>
          <w:sz w:val="19"/>
        </w:rPr>
        <w:t>+150 Fishing experience per corresponding catch, 1,000 catches, level 96 and 300 tokens.</w:t>
      </w:r>
    </w:p>
    <w:p>
      <w:pPr>
        <w:spacing w:after="100"/>
      </w:pPr>
      <w:hyperlink r:id="rId39">
        <w:r>
          <w:rPr>
            <w:color w:val="234E60"/>
          </w:rPr>
          <w:t>https://www.runehq.com/item/rocktail-gloves</w:t>
        </w:r>
      </w:hyperlink>
    </w:p>
    <w:p>
      <w:pPr>
        <w:keepNext/>
      </w:pPr>
      <w:r>
        <w:rPr>
          <w:b w:val="0"/>
        </w:rPr>
      </w:r>
      <w:r>
        <w:rPr>
          <w:b/>
        </w:rPr>
        <w:t>[S31] Tip.It - Battle-mage gloves</w:t>
      </w:r>
      <w:r>
        <w:rPr>
          <w:b w:val="0"/>
        </w:rPr>
      </w:r>
    </w:p>
    <w:p>
      <w:pPr>
        <w:keepNext/>
        <w:spacing w:after="40"/>
      </w:pPr>
      <w:r>
        <w:rPr>
          <w:b w:val="0"/>
          <w:sz w:val="19"/>
        </w:rPr>
        <w:t>Updated 14 December 2014. Hybrid glove requirements, conditional damage bonus and chance-based acquisition.</w:t>
      </w:r>
    </w:p>
    <w:p>
      <w:pPr>
        <w:spacing w:after="100"/>
      </w:pPr>
      <w:hyperlink r:id="rId40">
        <w:r>
          <w:rPr>
            <w:color w:val="234E60"/>
          </w:rPr>
          <w:t>https://www.tip.it/runescape/items/view/11560-battlemage-gloves</w:t>
        </w:r>
      </w:hyperlink>
    </w:p>
    <w:p>
      <w:pPr>
        <w:keepNext/>
      </w:pPr>
      <w:r>
        <w:rPr>
          <w:b w:val="0"/>
        </w:rPr>
      </w:r>
      <w:r>
        <w:rPr>
          <w:b/>
        </w:rPr>
        <w:t>[S32] RuneHQ - Battle-mage gloves</w:t>
      </w:r>
      <w:r>
        <w:rPr>
          <w:b w:val="0"/>
        </w:rPr>
      </w:r>
    </w:p>
    <w:p>
      <w:pPr>
        <w:keepNext/>
        <w:spacing w:after="40"/>
      </w:pPr>
      <w:r>
        <w:rPr>
          <w:b w:val="0"/>
          <w:sz w:val="19"/>
        </w:rPr>
        <w:t>Requirements and 700-thaler alternative; armour statistic differs from older Tip.It data.</w:t>
      </w:r>
    </w:p>
    <w:p>
      <w:pPr>
        <w:spacing w:after="100"/>
      </w:pPr>
      <w:hyperlink r:id="rId41">
        <w:r>
          <w:rPr>
            <w:color w:val="234E60"/>
          </w:rPr>
          <w:t>https://www.runehq.com/item/battle-mage-gloves</w:t>
        </w:r>
      </w:hyperlink>
    </w:p>
    <w:p>
      <w:pPr>
        <w:keepNext/>
      </w:pPr>
      <w:r>
        <w:rPr>
          <w:b w:val="0"/>
        </w:rPr>
      </w:r>
      <w:r>
        <w:rPr>
          <w:b/>
        </w:rPr>
        <w:t>[S33] RuneHQ - Trickster gloves</w:t>
      </w:r>
      <w:r>
        <w:rPr>
          <w:b w:val="0"/>
        </w:rPr>
      </w:r>
    </w:p>
    <w:p>
      <w:pPr>
        <w:keepNext/>
        <w:spacing w:after="40"/>
      </w:pPr>
      <w:r>
        <w:rPr>
          <w:b w:val="0"/>
          <w:sz w:val="19"/>
        </w:rPr>
        <w:t>Requirements, restricted minigame benefits and 700-thaler alternative.</w:t>
      </w:r>
    </w:p>
    <w:p>
      <w:pPr>
        <w:spacing w:after="100"/>
      </w:pPr>
      <w:hyperlink r:id="rId42">
        <w:r>
          <w:rPr>
            <w:color w:val="234E60"/>
          </w:rPr>
          <w:t>https://www.runehq.com/item/trickster-gloves</w:t>
        </w:r>
      </w:hyperlink>
    </w:p>
    <w:p>
      <w:pPr>
        <w:keepNext/>
      </w:pPr>
      <w:r>
        <w:rPr>
          <w:b w:val="0"/>
        </w:rPr>
      </w:r>
      <w:r>
        <w:rPr>
          <w:b/>
        </w:rPr>
        <w:t>[S34] RuneHQ - Vanguard gloves</w:t>
      </w:r>
      <w:r>
        <w:rPr>
          <w:b w:val="0"/>
        </w:rPr>
      </w:r>
    </w:p>
    <w:p>
      <w:pPr>
        <w:keepNext/>
        <w:spacing w:after="40"/>
      </w:pPr>
      <w:r>
        <w:rPr>
          <w:b w:val="0"/>
          <w:sz w:val="19"/>
        </w:rPr>
        <w:t>Requirements, restricted minigame benefits and 700-thaler alternative.</w:t>
      </w:r>
    </w:p>
    <w:p>
      <w:pPr>
        <w:spacing w:after="100"/>
      </w:pPr>
      <w:hyperlink r:id="rId43">
        <w:r>
          <w:rPr>
            <w:color w:val="234E60"/>
          </w:rPr>
          <w:t>https://www.runehq.com/item/vanguard-gloves</w:t>
        </w:r>
      </w:hyperlink>
    </w:p>
    <w:p>
      <w:pPr>
        <w:keepNext/>
      </w:pPr>
      <w:r>
        <w:rPr>
          <w:b w:val="0"/>
        </w:rPr>
      </w:r>
      <w:r>
        <w:rPr>
          <w:b/>
        </w:rPr>
        <w:t>[S35] RuneScape Wiki - Fist of Guthix token</w:t>
      </w:r>
      <w:r>
        <w:rPr>
          <w:b w:val="0"/>
        </w:rPr>
      </w:r>
    </w:p>
    <w:p>
      <w:pPr>
        <w:keepNext/>
        <w:spacing w:after="40"/>
      </w:pPr>
      <w:r>
        <w:rPr>
          <w:b w:val="0"/>
          <w:sz w:val="19"/>
        </w:rPr>
        <w:t>Token/currency reference. Distinguish a reward currency from in-match charges and rating.</w:t>
      </w:r>
    </w:p>
    <w:p>
      <w:pPr>
        <w:spacing w:after="100"/>
      </w:pPr>
      <w:hyperlink r:id="rId44">
        <w:r>
          <w:rPr>
            <w:color w:val="234E60"/>
          </w:rPr>
          <w:t>https://runescape.wiki/w/Fist_of_Guthix_token</w:t>
        </w:r>
      </w:hyperlink>
    </w:p>
    <w:p>
      <w:pPr>
        <w:keepNext/>
      </w:pPr>
      <w:r>
        <w:rPr>
          <w:b w:val="0"/>
        </w:rPr>
      </w:r>
      <w:r>
        <w:rPr>
          <w:b/>
        </w:rPr>
        <w:t>[S36] Lunagang - Fist of Guthix token</w:t>
      </w:r>
      <w:r>
        <w:rPr>
          <w:b w:val="0"/>
        </w:rPr>
      </w:r>
    </w:p>
    <w:p>
      <w:pPr>
        <w:keepNext/>
        <w:spacing w:after="40"/>
      </w:pPr>
      <w:r>
        <w:rPr>
          <w:b w:val="0"/>
          <w:sz w:val="19"/>
        </w:rPr>
        <w:t>Dutch item reference corroborating the dependence of token rewards on charges and total skill level.</w:t>
      </w:r>
    </w:p>
    <w:p>
      <w:pPr>
        <w:spacing w:after="100"/>
      </w:pPr>
      <w:hyperlink r:id="rId45">
        <w:r>
          <w:rPr>
            <w:color w:val="234E60"/>
          </w:rPr>
          <w:t>https://www.lunagang.nl/voorwerp/fist-of-guthix-token/</w:t>
        </w:r>
      </w:hyperlink>
    </w:p>
    <w:p>
      <w:pPr>
        <w:keepNext/>
      </w:pPr>
      <w:r>
        <w:rPr>
          <w:b w:val="0"/>
        </w:rPr>
      </w:r>
      <w:r>
        <w:rPr>
          <w:b/>
        </w:rPr>
        <w:t>[S37] Tip.It Times / Arceus - With an Open Fist</w:t>
      </w:r>
      <w:r>
        <w:rPr>
          <w:b w:val="0"/>
        </w:rPr>
      </w:r>
    </w:p>
    <w:p>
      <w:pPr>
        <w:keepNext/>
        <w:spacing w:after="40"/>
      </w:pPr>
      <w:r>
        <w:rPr>
          <w:b w:val="0"/>
          <w:sz w:val="19"/>
        </w:rPr>
        <w:t>16 August 2015. Contemporary account of the rework; token-per-hour estimates are player outcomes, not a payout formula.</w:t>
      </w:r>
    </w:p>
    <w:p>
      <w:pPr>
        <w:spacing w:after="100"/>
      </w:pPr>
      <w:hyperlink r:id="rId46">
        <w:r>
          <w:rPr>
            <w:color w:val="234E60"/>
          </w:rPr>
          <w:t>https://www.tip.it/runescape/times/view/1206-with-an-open-fist</w:t>
        </w:r>
      </w:hyperlink>
    </w:p>
    <w:p>
      <w:pPr>
        <w:keepNext/>
      </w:pPr>
      <w:r>
        <w:rPr>
          <w:b w:val="0"/>
        </w:rPr>
      </w:r>
      <w:r>
        <w:rPr>
          <w:b/>
        </w:rPr>
        <w:t>[S38] RuneHQ - Gamers' Grotto</w:t>
      </w:r>
      <w:r>
        <w:rPr>
          <w:b w:val="0"/>
        </w:rPr>
      </w:r>
    </w:p>
    <w:p>
      <w:pPr>
        <w:keepNext/>
        <w:spacing w:after="40"/>
      </w:pPr>
      <w:r>
        <w:rPr>
          <w:b w:val="0"/>
          <w:sz w:val="19"/>
        </w:rPr>
        <w:t>Map reference with March 2011 origin and later updates; location corroboration rather than an arena tile map.</w:t>
      </w:r>
    </w:p>
    <w:p>
      <w:pPr>
        <w:spacing w:after="100"/>
      </w:pPr>
      <w:hyperlink r:id="rId47">
        <w:r>
          <w:rPr>
            <w:color w:val="234E60"/>
          </w:rPr>
          <w:t>https://www.runehq.com/map/gamers-grotto</w:t>
        </w:r>
      </w:hyperlink>
    </w:p>
    <w:p>
      <w:r>
        <w:rPr>
          <w:b/>
        </w:rPr>
        <w:t>[S39] Supplied file - FOG_MECHANICS-2010.md</w:t>
      </w:r>
    </w:p>
    <w:p>
      <w:r>
        <w:t>User-provided comparative specification, labeled January 2010. Reports build-530 definitions and geometry, but identifies client scripts as a build-578 dump. Raw cache, gamevals, scripts and the named repository were not supplied with the document. Internal calculations here audit its text, not a 727 cache.</w:t>
      </w:r>
    </w:p>
    <w:p>
      <w:r>
        <w:t>Local attachment; sections are cited in the body.</w:t>
      </w:r>
    </w:p>
    <w:p>
      <w:r>
        <w:rPr>
          <w:b/>
        </w:rPr>
        <w:t>[S40] Jagex - The Temple at Senntisten</w:t>
      </w:r>
    </w:p>
    <w:p>
      <w:r>
        <w:t>3 December 2009. In other news confirms reduced recharge costs for most FoG items, excluding gloves. Authoritative for the date and scope of a reduction, not an item-by-item replacement table.</w:t>
      </w:r>
    </w:p>
    <w:p>
      <w:r>
        <w:t>https://secure.runescape.com/m=news/the-temple-at-senntisten</w:t>
      </w:r>
    </w:p>
    <w:p>
      <w:r>
        <w:rPr>
          <w:b/>
        </w:rPr>
        <w:t>[S41] Jagex - The Wilderness and Free Trade Return!</w:t>
      </w:r>
    </w:p>
    <w:p>
      <w:r>
        <w:t>1 February 2011. Explicitly relocates FoG into Gamers' Grotto north of Falador. Resolves the target geography boundary; it does not enumerate inner-arena coordinates.</w:t>
      </w:r>
    </w:p>
    <w:p>
      <w:r>
        <w:t>https://secure.runescape.com/m=news/the-wilderness-and-free-trade-return</w:t>
      </w:r>
    </w:p>
    <w:sectPr w:rsidR="00FC693F" w:rsidRPr="0006063C" w:rsidSect="00034616">
      <w:footerReference w:type="default" r:id="rId9"/>
      <w:headerReference w:type="default" r:id="rId48"/>
      <w:pgSz w:w="12240" w:h="15840"/>
      <w:pgMar w:top="979"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27A"/>
        <w:sz w:val="16"/>
      </w:rPr>
      <w:t xml:space="preserve">Fist of Guthix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83B4E"/>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234E6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234E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183B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5161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40"/>
    </w:pPr>
    <w:rPr>
      <w:rFonts w:ascii="Calibri" w:hAnsi="Calibri"/>
      <w:b/>
      <w:bCs/>
      <w:color w:val="5161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ecure.runescape.com/m=news/fist-of-guthix" TargetMode="External"/><Relationship Id="rId11" Type="http://schemas.openxmlformats.org/officeDocument/2006/relationships/hyperlink" Target="https://secure.runescape.com/m=news/fist-of-guthix--centralised-toggles" TargetMode="External"/><Relationship Id="rId12" Type="http://schemas.openxmlformats.org/officeDocument/2006/relationships/hyperlink" Target="https://secure.runescape.com/m=news/new-rewards-for-minigames" TargetMode="External"/><Relationship Id="rId13" Type="http://schemas.openxmlformats.org/officeDocument/2006/relationships/hyperlink" Target="https://secure.runescape.com/m=news/evolution-of-combat-now-live" TargetMode="External"/><Relationship Id="rId14" Type="http://schemas.openxmlformats.org/officeDocument/2006/relationships/hyperlink" Target="https://secure.runescape.com/m=news/minigame-spotlight" TargetMode="External"/><Relationship Id="rId15" Type="http://schemas.openxmlformats.org/officeDocument/2006/relationships/hyperlink" Target="https://runescape.wiki/w/Fist_of_Guthix" TargetMode="External"/><Relationship Id="rId16" Type="http://schemas.openxmlformats.org/officeDocument/2006/relationships/hyperlink" Target="https://www.tip.it/runescape/pages/view/fist_of_guthix.htm" TargetMode="External"/><Relationship Id="rId17" Type="http://schemas.openxmlformats.org/officeDocument/2006/relationships/hyperlink" Target="https://www.runehq.com/minigame/fist-of-guthix" TargetMode="External"/><Relationship Id="rId18" Type="http://schemas.openxmlformats.org/officeDocument/2006/relationships/hyperlink" Target="https://runescape.salmoneus.net/activities/fist-of-guthix.html" TargetMode="External"/><Relationship Id="rId19" Type="http://schemas.openxmlformats.org/officeDocument/2006/relationships/hyperlink" Target="https://www.2011.rs/kb/fist_of_guthix" TargetMode="External"/><Relationship Id="rId20" Type="http://schemas.openxmlformats.org/officeDocument/2006/relationships/hyperlink" Target="https://www.rscommunity.de/index.php?id=696&amp;option=content&amp;task=view" TargetMode="External"/><Relationship Id="rId21" Type="http://schemas.openxmlformats.org/officeDocument/2006/relationships/hyperlink" Target="https://junglebiscuit.com/runescapefogguide/" TargetMode="External"/><Relationship Id="rId22" Type="http://schemas.openxmlformats.org/officeDocument/2006/relationships/hyperlink" Target="https://wiki.darkan.org/Fist_of_Guthix" TargetMode="External"/><Relationship Id="rId23" Type="http://schemas.openxmlformats.org/officeDocument/2006/relationships/hyperlink" Target="https://wiki.darkan.org/Stone_of_power" TargetMode="External"/><Relationship Id="rId24" Type="http://schemas.openxmlformats.org/officeDocument/2006/relationships/hyperlink" Target="https://wiki.darkan.org/Tele-orb" TargetMode="External"/><Relationship Id="rId25" Type="http://schemas.openxmlformats.org/officeDocument/2006/relationships/hyperlink" Target="https://wiki.darkan.org/Catalytic_rune" TargetMode="External"/><Relationship Id="rId26" Type="http://schemas.openxmlformats.org/officeDocument/2006/relationships/hyperlink" Target="https://wiki.darkan.org/Elemental_rune" TargetMode="External"/><Relationship Id="rId27" Type="http://schemas.openxmlformats.org/officeDocument/2006/relationships/hyperlink" Target="https://www.tip.it/runescape/items/view/7443-bandages-fist-of-guthix" TargetMode="External"/><Relationship Id="rId28" Type="http://schemas.openxmlformats.org/officeDocument/2006/relationships/hyperlink" Target="https://www.tip.it/runescape/shops/view/349-fist-of-guthix-reward-shop" TargetMode="External"/><Relationship Id="rId29" Type="http://schemas.openxmlformats.org/officeDocument/2006/relationships/hyperlink" Target="https://www.youtube.com/watch?v=-kUToVGOE8c" TargetMode="External"/><Relationship Id="rId30" Type="http://schemas.openxmlformats.org/officeDocument/2006/relationships/hyperlink" Target="https://wiki.darkan.org/Combat_robes" TargetMode="External"/><Relationship Id="rId31" Type="http://schemas.openxmlformats.org/officeDocument/2006/relationships/hyperlink" Target="https://wiki.darkan.org/Battle_robes" TargetMode="External"/><Relationship Id="rId32" Type="http://schemas.openxmlformats.org/officeDocument/2006/relationships/hyperlink" Target="https://wiki.darkan.org/Druidic_mage_robes" TargetMode="External"/><Relationship Id="rId33" Type="http://schemas.openxmlformats.org/officeDocument/2006/relationships/hyperlink" Target="https://www.runehq.com/item/battle-robe-top-100" TargetMode="External"/><Relationship Id="rId34" Type="http://schemas.openxmlformats.org/officeDocument/2006/relationships/hyperlink" Target="https://www.runehq.com/item/druidic-mage-top-100" TargetMode="External"/><Relationship Id="rId35" Type="http://schemas.openxmlformats.org/officeDocument/2006/relationships/hyperlink" Target="https://www.runehq.com/item/dragon-slayer-gloves" TargetMode="External"/><Relationship Id="rId36" Type="http://schemas.openxmlformats.org/officeDocument/2006/relationships/hyperlink" Target="https://www.tip.it/runescape/items/view/7441-dragon-slayer-gloves" TargetMode="External"/><Relationship Id="rId37" Type="http://schemas.openxmlformats.org/officeDocument/2006/relationships/hyperlink" Target="https://www.runehq.com/item/monkfish-gloves" TargetMode="External"/><Relationship Id="rId38" Type="http://schemas.openxmlformats.org/officeDocument/2006/relationships/hyperlink" Target="https://www.runehq.com/item/cavefish-gloves" TargetMode="External"/><Relationship Id="rId39" Type="http://schemas.openxmlformats.org/officeDocument/2006/relationships/hyperlink" Target="https://www.runehq.com/item/rocktail-gloves" TargetMode="External"/><Relationship Id="rId40" Type="http://schemas.openxmlformats.org/officeDocument/2006/relationships/hyperlink" Target="https://www.tip.it/runescape/items/view/11560-battlemage-gloves" TargetMode="External"/><Relationship Id="rId41" Type="http://schemas.openxmlformats.org/officeDocument/2006/relationships/hyperlink" Target="https://www.runehq.com/item/battle-mage-gloves" TargetMode="External"/><Relationship Id="rId42" Type="http://schemas.openxmlformats.org/officeDocument/2006/relationships/hyperlink" Target="https://www.runehq.com/item/trickster-gloves" TargetMode="External"/><Relationship Id="rId43" Type="http://schemas.openxmlformats.org/officeDocument/2006/relationships/hyperlink" Target="https://www.runehq.com/item/vanguard-gloves" TargetMode="External"/><Relationship Id="rId44" Type="http://schemas.openxmlformats.org/officeDocument/2006/relationships/hyperlink" Target="https://runescape.wiki/w/Fist_of_Guthix_token" TargetMode="External"/><Relationship Id="rId45" Type="http://schemas.openxmlformats.org/officeDocument/2006/relationships/hyperlink" Target="https://www.lunagang.nl/voorwerp/fist-of-guthix-token/" TargetMode="External"/><Relationship Id="rId46" Type="http://schemas.openxmlformats.org/officeDocument/2006/relationships/hyperlink" Target="https://www.tip.it/runescape/times/view/1206-with-an-open-fist" TargetMode="External"/><Relationship Id="rId47" Type="http://schemas.openxmlformats.org/officeDocument/2006/relationships/hyperlink" Target="https://www.runehq.com/map/gamers-grotto" TargetMode="External"/><Relationship Id="rId4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Fist of Guthix - Revision 727 Mechanics and Evidence</dc:title>
  <dc:subject>July 2012 live-game target; documentary reconstruction and older-cache reconciliation</dc:subject>
  <dc:creator/>
  <cp:keywords>Fist of Guthix, RuneScape, mechanics, charges, portals, tokens, historical reconstruction</cp:keywords>
  <dc:description>Target pinned to revision 727. Matching target artifacts pending direct examination.</dc:description>
  <cp:lastModifiedBy/>
  <cp:revision>1</cp:revision>
  <dcterms:created xsi:type="dcterms:W3CDTF">2013-12-23T23:15:00Z</dcterms:created>
  <dcterms:modified xsi:type="dcterms:W3CDTF">2013-12-23T23:15:00Z</dcterms:modified>
  <cp:category/>
</cp:coreProperties>
</file>