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6F5F2"/>
  <w:body>
    <w:p w:rsidR="00000000" w:rsidDel="00000000" w:rsidP="00000000" w:rsidRDefault="00000000" w:rsidRPr="00000000" w14:paraId="00000001">
      <w:pPr>
        <w:pStyle w:val="Heading1"/>
        <w:pageBreakBefore w:val="0"/>
        <w:rPr>
          <w:rFonts w:ascii="IBM Plex Sans" w:cs="IBM Plex Sans" w:eastAsia="IBM Plex Sans" w:hAnsi="IBM Plex Sans"/>
          <w:color w:val="999999"/>
          <w:sz w:val="14"/>
          <w:szCs w:val="14"/>
          <w:highlight w:val="white"/>
        </w:rPr>
      </w:pPr>
      <w:bookmarkStart w:colFirst="0" w:colLast="0" w:name="_w09riado97hl" w:id="0"/>
      <w:bookmarkEnd w:id="0"/>
      <w:r w:rsidDel="00000000" w:rsidR="00000000" w:rsidRPr="00000000">
        <w:rPr>
          <w:rFonts w:ascii="IBM Plex Sans" w:cs="IBM Plex Sans" w:eastAsia="IBM Plex Sans" w:hAnsi="IBM Plex Sans"/>
          <w:color w:val="000000"/>
          <w:sz w:val="30"/>
          <w:szCs w:val="30"/>
          <w:rtl w:val="0"/>
        </w:rPr>
        <w:t xml:space="preserve">MACHINE LEARNING CANVAS</w:t>
      </w:r>
      <w:r w:rsidDel="00000000" w:rsidR="00000000" w:rsidRPr="00000000">
        <w:rPr>
          <w:rFonts w:ascii="IBM Plex Sans" w:cs="IBM Plex Sans" w:eastAsia="IBM Plex Sans" w:hAnsi="IBM Plex Sans"/>
          <w:color w:val="000000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 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b7b7b7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  </w:t>
        <w:tab/>
        <w:t xml:space="preserve">                            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b7b7b7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rtl w:val="0"/>
        </w:rPr>
        <w:t xml:space="preserve">Designed for: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highlight w:val="white"/>
          <w:rtl w:val="0"/>
        </w:rPr>
        <w:t xml:space="preserve">                                         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rtl w:val="0"/>
        </w:rPr>
        <w:t xml:space="preserve">   Designed by: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highlight w:val="white"/>
          <w:rtl w:val="0"/>
        </w:rPr>
        <w:t xml:space="preserve">  </w:t>
      </w:r>
      <w:r w:rsidDel="00000000" w:rsidR="00000000" w:rsidRPr="00000000">
        <w:rPr>
          <w:rFonts w:ascii="IBM Plex Sans" w:cs="IBM Plex Sans" w:eastAsia="IBM Plex Sans" w:hAnsi="IBM Plex Sans"/>
          <w:sz w:val="14"/>
          <w:szCs w:val="14"/>
          <w:highlight w:val="white"/>
          <w:rtl w:val="0"/>
        </w:rPr>
        <w:t xml:space="preserve">    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highlight w:val="white"/>
          <w:rtl w:val="0"/>
        </w:rPr>
        <w:t xml:space="preserve">                               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rtl w:val="0"/>
        </w:rPr>
        <w:t xml:space="preserve">     Date: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highlight w:val="white"/>
          <w:rtl w:val="0"/>
        </w:rPr>
        <w:t xml:space="preserve">                             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rtl w:val="0"/>
        </w:rPr>
        <w:t xml:space="preserve">  Iteration: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highlight w:val="white"/>
          <w:rtl w:val="0"/>
        </w:rPr>
        <w:t xml:space="preserve">        .</w:t>
      </w:r>
      <w:r w:rsidDel="00000000" w:rsidR="00000000" w:rsidRPr="00000000">
        <w:rPr>
          <w:rtl w:val="0"/>
        </w:rPr>
      </w:r>
    </w:p>
    <w:tbl>
      <w:tblPr>
        <w:tblStyle w:val="Table1"/>
        <w:tblW w:w="144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55"/>
        <w:gridCol w:w="2880"/>
        <w:gridCol w:w="2880"/>
        <w:gridCol w:w="2880"/>
        <w:gridCol w:w="2880"/>
        <w:tblGridChange w:id="0">
          <w:tblGrid>
            <w:gridCol w:w="2955"/>
            <w:gridCol w:w="2880"/>
            <w:gridCol w:w="2880"/>
            <w:gridCol w:w="2880"/>
            <w:gridCol w:w="2880"/>
          </w:tblGrid>
        </w:tblGridChange>
      </w:tblGrid>
      <w:tr>
        <w:trPr>
          <w:cantSplit w:val="0"/>
          <w:trHeight w:val="414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1h1dkvi2yfu9" w:id="1"/>
            <w:bookmarkEnd w:id="1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PREDICTION TASK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1390650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b="0" l="0" r="0" t="0"/>
                  <wp:wrapSquare wrapText="bothSides" distB="0" distT="0" distL="0" distR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pStyle w:val="Heading3"/>
              <w:rPr>
                <w:rFonts w:ascii="Arial" w:cs="Arial" w:eastAsia="Arial" w:hAnsi="Arial"/>
              </w:rPr>
            </w:pPr>
            <w:bookmarkStart w:colFirst="0" w:colLast="0" w:name="_thq08j5wl2ld" w:id="2"/>
            <w:bookmarkEnd w:id="2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Tipo de Tarefa: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Classificação Binária Supervisionada.</w:t>
            </w:r>
          </w:p>
          <w:p w:rsidR="00000000" w:rsidDel="00000000" w:rsidP="00000000" w:rsidRDefault="00000000" w:rsidRPr="00000000" w14:paraId="00000004">
            <w:pPr>
              <w:pStyle w:val="Heading3"/>
              <w:rPr>
                <w:rFonts w:ascii="Arial" w:cs="Arial" w:eastAsia="Arial" w:hAnsi="Arial"/>
              </w:rPr>
            </w:pPr>
            <w:bookmarkStart w:colFirst="0" w:colLast="0" w:name="_thq08j5wl2ld" w:id="2"/>
            <w:bookmarkEnd w:id="2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Entidade de Análise: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URLs de websites e/ou mensagens de e-mail.</w:t>
            </w:r>
          </w:p>
          <w:p w:rsidR="00000000" w:rsidDel="00000000" w:rsidP="00000000" w:rsidRDefault="00000000" w:rsidRPr="00000000" w14:paraId="00000005">
            <w:pPr>
              <w:pStyle w:val="Heading3"/>
              <w:rPr>
                <w:rFonts w:ascii="Arial" w:cs="Arial" w:eastAsia="Arial" w:hAnsi="Arial"/>
                <w:b w:val="1"/>
                <w:bCs w:val="1"/>
              </w:rPr>
            </w:pPr>
            <w:bookmarkStart w:colFirst="0" w:colLast="0" w:name="_thq08j5wl2ld" w:id="2"/>
            <w:bookmarkEnd w:id="2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Resultados Possíveis:</w:t>
            </w:r>
          </w:p>
          <w:p w:rsidR="00000000" w:rsidDel="00000000" w:rsidP="00000000" w:rsidRDefault="00000000" w:rsidRPr="00000000" w14:paraId="00000006">
            <w:pPr>
              <w:pStyle w:val="Heading3"/>
              <w:spacing w:after="240" w:lineRule="auto"/>
              <w:ind w:left="720" w:firstLine="0"/>
              <w:rPr>
                <w:rFonts w:ascii="Arial" w:cs="Arial" w:eastAsia="Arial" w:hAnsi="Arial"/>
              </w:rPr>
            </w:pPr>
            <w:bookmarkStart w:colFirst="0" w:colLast="0" w:name="_thq08j5wl2ld" w:id="2"/>
            <w:bookmarkEnd w:id="2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88038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Conteúdo Malicioso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Phishing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7">
            <w:pPr>
              <w:pStyle w:val="Heading3"/>
              <w:spacing w:after="240" w:lineRule="auto"/>
              <w:ind w:left="720" w:firstLine="0"/>
              <w:rPr>
                <w:rFonts w:ascii="Arial" w:cs="Arial" w:eastAsia="Arial" w:hAnsi="Arial"/>
              </w:rPr>
            </w:pPr>
            <w:bookmarkStart w:colFirst="0" w:colLast="0" w:name="_ix8qzov08thy" w:id="3"/>
            <w:bookmarkEnd w:id="3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88038"/>
                <w:rtl w:val="0"/>
              </w:rPr>
              <w:t xml:space="preserve">-1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Conteúdo Seguro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Legítimo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08">
            <w:pPr>
              <w:pStyle w:val="Heading3"/>
              <w:rPr>
                <w:rFonts w:ascii="Arial" w:cs="Arial" w:eastAsia="Arial" w:hAnsi="Arial"/>
              </w:rPr>
            </w:pPr>
            <w:bookmarkStart w:colFirst="0" w:colLast="0" w:name="_jbisdabpx95b" w:id="4"/>
            <w:bookmarkEnd w:id="4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Momento de Observação: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No instante do clique na URL, requisição HTTP no navegador ou receção da mensagem no servidor.</w:t>
            </w:r>
          </w:p>
          <w:p w:rsidR="00000000" w:rsidDel="00000000" w:rsidP="00000000" w:rsidRDefault="00000000" w:rsidRPr="00000000" w14:paraId="00000009">
            <w:pPr>
              <w:pStyle w:val="Heading3"/>
              <w:pageBreakBefore w:val="0"/>
              <w:spacing w:after="200" w:lineRule="auto"/>
              <w:rPr/>
            </w:pPr>
            <w:bookmarkStart w:colFirst="0" w:colLast="0" w:name="_thq08j5wl2ld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Style w:val="Heading3"/>
              <w:pageBreakBefore w:val="0"/>
              <w:spacing w:after="200" w:lineRule="auto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c9b6exk1a27x" w:id="5"/>
            <w:bookmarkEnd w:id="5"/>
            <w:r w:rsidDel="00000000" w:rsidR="00000000" w:rsidRPr="00000000">
              <w:rPr>
                <w:rFonts w:ascii="IBM Plex Sans" w:cs="IBM Plex Sans" w:eastAsia="IBM Plex Sans" w:hAnsi="IBM Plex Sans"/>
                <w:color w:val="999999"/>
                <w:sz w:val="14"/>
                <w:szCs w:val="1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0B">
            <w:pPr>
              <w:pageBreakBefore w:val="0"/>
              <w:spacing w:after="200" w:lineRule="auto"/>
              <w:jc w:val="left"/>
              <w:rPr>
                <w:rFonts w:ascii="IBM Plex Sans" w:cs="IBM Plex Sans" w:eastAsia="IBM Plex Sans" w:hAnsi="IBM Plex Sans"/>
                <w:color w:val="020094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zi43bbo66xa8" w:id="6"/>
            <w:bookmarkEnd w:id="6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DECISIONS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b="0" l="0" r="0" t="0"/>
                  <wp:wrapSquare wrapText="bothSides" distB="0" distT="0" distL="0" distR="0"/>
                  <wp:docPr id="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D">
            <w:pPr>
              <w:pStyle w:val="Heading3"/>
              <w:spacing w:after="240" w:lineRule="auto"/>
              <w:rPr>
                <w:rFonts w:ascii="Arial" w:cs="Arial" w:eastAsia="Arial" w:hAnsi="Arial"/>
                <w:sz w:val="14"/>
                <w:szCs w:val="14"/>
              </w:rPr>
            </w:pPr>
            <w:bookmarkStart w:colFirst="0" w:colLast="0" w:name="_w7fhgup6fa3l" w:id="7"/>
            <w:bookmarkEnd w:id="7"/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Parâmetros de Decisão: Nível de probabilidade (P) do conteúdo ser Phishing (1).</w:t>
            </w:r>
          </w:p>
          <w:p w:rsidR="00000000" w:rsidDel="00000000" w:rsidP="00000000" w:rsidRDefault="00000000" w:rsidRPr="00000000" w14:paraId="0000000E">
            <w:pPr>
              <w:pStyle w:val="Heading3"/>
              <w:spacing w:after="240" w:lineRule="auto"/>
              <w:ind w:left="0" w:firstLine="0"/>
              <w:rPr>
                <w:rFonts w:ascii="Arial" w:cs="Arial" w:eastAsia="Arial" w:hAnsi="Arial"/>
                <w:sz w:val="14"/>
                <w:szCs w:val="14"/>
              </w:rPr>
            </w:pPr>
            <w:bookmarkStart w:colFirst="0" w:colLast="0" w:name="_w7fhgup6fa3l" w:id="7"/>
            <w:bookmarkEnd w:id="7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Regra 1 ($P \ge 80\%$ | Rótulo: 1):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Bloquear. O acesso é interrompido e envia-se um alerta para o SOC.</w:t>
            </w:r>
          </w:p>
          <w:p w:rsidR="00000000" w:rsidDel="00000000" w:rsidP="00000000" w:rsidRDefault="00000000" w:rsidRPr="00000000" w14:paraId="0000000F">
            <w:pPr>
              <w:pStyle w:val="Heading3"/>
              <w:spacing w:after="240" w:lineRule="auto"/>
              <w:ind w:left="0" w:firstLine="0"/>
              <w:rPr>
                <w:rFonts w:ascii="Arial" w:cs="Arial" w:eastAsia="Arial" w:hAnsi="Arial"/>
                <w:sz w:val="14"/>
                <w:szCs w:val="14"/>
              </w:rPr>
            </w:pPr>
            <w:bookmarkStart w:colFirst="0" w:colLast="0" w:name="_w7fhgup6fa3l" w:id="7"/>
            <w:bookmarkEnd w:id="7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Regra 2 ($50\% \le P &lt; 80\%$ | Rótulo: 1):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Alertar. Exibe-se um aviso ao utilizador antes do acesso.</w:t>
            </w:r>
          </w:p>
          <w:p w:rsidR="00000000" w:rsidDel="00000000" w:rsidP="00000000" w:rsidRDefault="00000000" w:rsidRPr="00000000" w14:paraId="00000010">
            <w:pPr>
              <w:pStyle w:val="Heading3"/>
              <w:spacing w:after="240" w:lineRule="auto"/>
              <w:ind w:left="0" w:firstLine="0"/>
              <w:rPr>
                <w:rFonts w:ascii="Arial" w:cs="Arial" w:eastAsia="Arial" w:hAnsi="Arial"/>
                <w:sz w:val="14"/>
                <w:szCs w:val="14"/>
              </w:rPr>
            </w:pPr>
            <w:bookmarkStart w:colFirst="0" w:colLast="0" w:name="_2o9hhgtfybxm" w:id="8"/>
            <w:bookmarkEnd w:id="8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Regra 3 ($P &lt; 50\%$ | Rótulo: -1):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Permitir. Navegação ou e-mail liberado sem interrupções</w:t>
            </w:r>
          </w:p>
          <w:p w:rsidR="00000000" w:rsidDel="00000000" w:rsidP="00000000" w:rsidRDefault="00000000" w:rsidRPr="00000000" w14:paraId="00000011">
            <w:pPr>
              <w:pStyle w:val="Heading3"/>
              <w:rPr>
                <w:rFonts w:ascii="IBM Plex Sans" w:cs="IBM Plex Sans" w:eastAsia="IBM Plex Sans" w:hAnsi="IBM Plex Sans"/>
                <w:sz w:val="14"/>
                <w:szCs w:val="14"/>
              </w:rPr>
            </w:pPr>
            <w:bookmarkStart w:colFirst="0" w:colLast="0" w:name="_w7fhgup6fa3l" w:id="7"/>
            <w:bookmarkEnd w:id="7"/>
            <w:r w:rsidDel="00000000" w:rsidR="00000000" w:rsidRPr="00000000">
              <w:rPr>
                <w:rFonts w:ascii="IBM Plex Sans" w:cs="IBM Plex Sans" w:eastAsia="IBM Plex Sans" w:hAnsi="IBM Plex Sans"/>
                <w:sz w:val="14"/>
                <w:szCs w:val="1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2">
            <w:pPr>
              <w:pStyle w:val="Heading3"/>
              <w:pageBreakBefore w:val="0"/>
              <w:spacing w:after="200" w:lineRule="auto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n3znq0gcdzbg" w:id="9"/>
            <w:bookmarkEnd w:id="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ageBreakBefore w:val="0"/>
              <w:spacing w:after="200" w:lineRule="auto"/>
              <w:jc w:val="left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12" w:val="single"/>
              <w:bottom w:color="000000" w:space="0" w:sz="0" w:val="nil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2awhjch1rrw2" w:id="10"/>
            <w:bookmarkEnd w:id="10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VALUE PROPOSITION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1333500</wp:posOffset>
                  </wp:positionH>
                  <wp:positionV relativeFrom="paragraph">
                    <wp:posOffset>0</wp:posOffset>
                  </wp:positionV>
                  <wp:extent cx="360000" cy="360000"/>
                  <wp:effectExtent b="0" l="0" r="0" t="0"/>
                  <wp:wrapSquare wrapText="bothSides" distB="0" distT="0" distL="0" distR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5">
            <w:pPr>
              <w:pStyle w:val="Heading3"/>
              <w:rPr>
                <w:rFonts w:ascii="Arial" w:cs="Arial" w:eastAsia="Arial" w:hAnsi="Arial"/>
                <w:sz w:val="14"/>
                <w:szCs w:val="14"/>
              </w:rPr>
            </w:pPr>
            <w:bookmarkStart w:colFirst="0" w:colLast="0" w:name="_dxjs2hhn8jih" w:id="11"/>
            <w:bookmarkEnd w:id="1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Beneficiários Diretos: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Utilizadores finais e a equipa de Segurança da Informação (SOC).</w:t>
            </w:r>
          </w:p>
          <w:p w:rsidR="00000000" w:rsidDel="00000000" w:rsidP="00000000" w:rsidRDefault="00000000" w:rsidRPr="00000000" w14:paraId="00000016">
            <w:pPr>
              <w:pStyle w:val="Heading3"/>
              <w:rPr>
                <w:rFonts w:ascii="Arial" w:cs="Arial" w:eastAsia="Arial" w:hAnsi="Arial"/>
                <w:sz w:val="14"/>
                <w:szCs w:val="14"/>
              </w:rPr>
            </w:pPr>
            <w:bookmarkStart w:colFirst="0" w:colLast="0" w:name="_dxjs2hhn8jih" w:id="11"/>
            <w:bookmarkEnd w:id="1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Dores Resolvidas: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Prevenção automatizada de roubo de credenciais e redução do volume de alertas manuais.</w:t>
            </w:r>
          </w:p>
          <w:p w:rsidR="00000000" w:rsidDel="00000000" w:rsidP="00000000" w:rsidRDefault="00000000" w:rsidRPr="00000000" w14:paraId="00000017">
            <w:pPr>
              <w:pStyle w:val="Heading3"/>
              <w:rPr>
                <w:rFonts w:ascii="Arial" w:cs="Arial" w:eastAsia="Arial" w:hAnsi="Arial"/>
                <w:sz w:val="14"/>
                <w:szCs w:val="14"/>
              </w:rPr>
            </w:pPr>
            <w:bookmarkStart w:colFirst="0" w:colLast="0" w:name="_xq4wij4v96mb" w:id="12"/>
            <w:bookmarkEnd w:id="12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Modo de Ponto de Contacto: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Extensão de navegador, gateway de e-mail ou proxy de rede.</w:t>
            </w:r>
          </w:p>
          <w:p w:rsidR="00000000" w:rsidDel="00000000" w:rsidP="00000000" w:rsidRDefault="00000000" w:rsidRPr="00000000" w14:paraId="00000018">
            <w:pPr>
              <w:pStyle w:val="Heading3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dxjs2hhn8jih" w:id="11"/>
            <w:bookmarkEnd w:id="1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ageBreakBefore w:val="0"/>
              <w:spacing w:after="200" w:lineRule="auto"/>
              <w:jc w:val="left"/>
              <w:rPr>
                <w:rFonts w:ascii="IBM Plex Sans" w:cs="IBM Plex Sans" w:eastAsia="IBM Plex Sans" w:hAnsi="IBM Plex Sans"/>
                <w:color w:val="020094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xadehxe6m08r" w:id="13"/>
            <w:bookmarkEnd w:id="13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DATA COLLECTION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b="0" l="0" r="0" t="0"/>
                  <wp:wrapSquare wrapText="bothSides" distB="0" distT="0" distL="0" distR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B">
            <w:pPr>
              <w:pStyle w:val="Heading3"/>
              <w:rPr>
                <w:rFonts w:ascii="Arial" w:cs="Arial" w:eastAsia="Arial" w:hAnsi="Arial"/>
                <w:sz w:val="14"/>
                <w:szCs w:val="14"/>
              </w:rPr>
            </w:pPr>
            <w:bookmarkStart w:colFirst="0" w:colLast="0" w:name="_bycxw25eie8y" w:id="14"/>
            <w:bookmarkEnd w:id="14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Carga Inicial: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Ingestão e pré-processamento do ficheiro histórico (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14"/>
                <w:szCs w:val="14"/>
                <w:rtl w:val="0"/>
              </w:rPr>
              <w:t xml:space="preserve">phishing.csv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14"/>
                <w:szCs w:val="14"/>
                <w:rtl w:val="0"/>
              </w:rPr>
              <w:t xml:space="preserve">phishing.txt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C">
            <w:pPr>
              <w:pStyle w:val="Heading3"/>
              <w:rPr>
                <w:rFonts w:ascii="Arial" w:cs="Arial" w:eastAsia="Arial" w:hAnsi="Arial"/>
                <w:sz w:val="14"/>
                <w:szCs w:val="14"/>
              </w:rPr>
            </w:pPr>
            <w:bookmarkStart w:colFirst="0" w:colLast="0" w:name="_7ozlamyhp1qn" w:id="15"/>
            <w:bookmarkEnd w:id="15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Atualização Contínua: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4"/>
                <w:szCs w:val="14"/>
                <w:rtl w:val="0"/>
              </w:rPr>
              <w:t xml:space="preserve">Pipelines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diários automatizados para ingestão de novas ameaças rotuladas e re-rotulagem contínua.</w:t>
            </w:r>
          </w:p>
          <w:p w:rsidR="00000000" w:rsidDel="00000000" w:rsidP="00000000" w:rsidRDefault="00000000" w:rsidRPr="00000000" w14:paraId="0000001D">
            <w:pPr>
              <w:pStyle w:val="Heading3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bycxw25eie8y" w:id="14"/>
            <w:bookmarkEnd w:id="1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ageBreakBefore w:val="0"/>
              <w:spacing w:after="200" w:lineRule="auto"/>
              <w:jc w:val="left"/>
              <w:rPr>
                <w:rFonts w:ascii="IBM Plex Sans" w:cs="IBM Plex Sans" w:eastAsia="IBM Plex Sans" w:hAnsi="IBM Plex Sans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right w:color="000000" w:space="0" w:sz="2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akf661vjm278" w:id="16"/>
            <w:bookmarkEnd w:id="16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DATA SOURCES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b="0" l="0" r="0" t="0"/>
                  <wp:wrapSquare wrapText="bothSides" distB="0" distT="0" distL="0" distR="0"/>
                  <wp:docPr id="15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20">
            <w:pPr>
              <w:pStyle w:val="Heading3"/>
              <w:rPr>
                <w:rFonts w:ascii="Arial" w:cs="Arial" w:eastAsia="Arial" w:hAnsi="Arial"/>
                <w:sz w:val="14"/>
                <w:szCs w:val="14"/>
              </w:rPr>
            </w:pPr>
            <w:bookmarkStart w:colFirst="0" w:colLast="0" w:name="_3ktfmkup4get" w:id="17"/>
            <w:bookmarkEnd w:id="17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Internas: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Logs de acesso do proxy, registros do servidor de e-mail e denúncias efetuadas pelos utilizadores.</w:t>
            </w:r>
          </w:p>
          <w:p w:rsidR="00000000" w:rsidDel="00000000" w:rsidP="00000000" w:rsidRDefault="00000000" w:rsidRPr="00000000" w14:paraId="00000021">
            <w:pPr>
              <w:pStyle w:val="Heading3"/>
              <w:rPr>
                <w:rFonts w:ascii="Arial" w:cs="Arial" w:eastAsia="Arial" w:hAnsi="Arial"/>
                <w:sz w:val="14"/>
                <w:szCs w:val="14"/>
              </w:rPr>
            </w:pPr>
            <w:bookmarkStart w:colFirst="0" w:colLast="0" w:name="_g351g3jw339w" w:id="18"/>
            <w:bookmarkEnd w:id="18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Externas: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Feeds de ameaças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4"/>
                <w:szCs w:val="14"/>
                <w:rtl w:val="0"/>
              </w:rPr>
              <w:t xml:space="preserve">PhishTank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4"/>
                <w:szCs w:val="14"/>
                <w:rtl w:val="0"/>
              </w:rPr>
              <w:t xml:space="preserve">OpenPhish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) e consultas de registro de domínio (WHOIS/DNS).</w:t>
            </w:r>
          </w:p>
          <w:p w:rsidR="00000000" w:rsidDel="00000000" w:rsidP="00000000" w:rsidRDefault="00000000" w:rsidRPr="00000000" w14:paraId="00000022">
            <w:pPr>
              <w:pStyle w:val="Heading3"/>
              <w:pageBreakBefore w:val="0"/>
              <w:spacing w:after="200" w:lineRule="auto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3ktfmkup4get" w:id="17"/>
            <w:bookmarkEnd w:id="1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ageBreakBefore w:val="0"/>
              <w:spacing w:after="200" w:lineRule="auto"/>
              <w:jc w:val="left"/>
              <w:rPr>
                <w:rFonts w:ascii="IBM Plex Sans" w:cs="IBM Plex Sans" w:eastAsia="IBM Plex Sans" w:hAnsi="IBM Plex Sans"/>
                <w:i w:val="1"/>
                <w:iCs w:val="1"/>
                <w:color w:val="999999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15" w:hRule="atLeast"/>
          <w:tblHeader w:val="0"/>
        </w:trPr>
        <w:tc>
          <w:tcPr>
            <w:tcBorders>
              <w:left w:color="000000" w:space="0" w:sz="24" w:val="single"/>
              <w:bottom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vz9cpjafdrq5" w:id="19"/>
            <w:bookmarkEnd w:id="19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IMPACT SIMULATION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1390650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b="0" l="0" r="0" t="0"/>
                  <wp:wrapSquare wrapText="bothSides" distB="0" distT="0" distL="0" distR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25">
            <w:pPr>
              <w:pStyle w:val="Heading3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bookmarkStart w:colFirst="0" w:colLast="0" w:name="_q0my9hts6rr1" w:id="20"/>
            <w:bookmarkEnd w:id="2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Análise de Custos de Erro:</w:t>
            </w:r>
          </w:p>
          <w:p w:rsidR="00000000" w:rsidDel="00000000" w:rsidP="00000000" w:rsidRDefault="00000000" w:rsidRPr="00000000" w14:paraId="00000026">
            <w:pPr>
              <w:pStyle w:val="Heading3"/>
              <w:spacing w:after="240" w:lineRule="auto"/>
              <w:ind w:left="0" w:firstLine="0"/>
              <w:rPr>
                <w:rFonts w:ascii="Arial" w:cs="Arial" w:eastAsia="Arial" w:hAnsi="Arial"/>
                <w:sz w:val="14"/>
                <w:szCs w:val="14"/>
              </w:rPr>
            </w:pPr>
            <w:bookmarkStart w:colFirst="0" w:colLast="0" w:name="_q0my9hts6rr1" w:id="20"/>
            <w:bookmarkEnd w:id="2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Falso Negativo (Classificar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88038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 como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88038"/>
                <w:sz w:val="14"/>
                <w:szCs w:val="14"/>
                <w:rtl w:val="0"/>
              </w:rPr>
              <w:t xml:space="preserve">-1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):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Custo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Alto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(Ameaça passa não detetada, gerando risco de comprometimento da rede).</w:t>
            </w:r>
          </w:p>
          <w:p w:rsidR="00000000" w:rsidDel="00000000" w:rsidP="00000000" w:rsidRDefault="00000000" w:rsidRPr="00000000" w14:paraId="00000027">
            <w:pPr>
              <w:pStyle w:val="Heading3"/>
              <w:spacing w:after="240" w:lineRule="auto"/>
              <w:ind w:left="0" w:firstLine="0"/>
              <w:rPr>
                <w:rFonts w:ascii="Arial" w:cs="Arial" w:eastAsia="Arial" w:hAnsi="Arial"/>
                <w:sz w:val="14"/>
                <w:szCs w:val="14"/>
              </w:rPr>
            </w:pPr>
            <w:bookmarkStart w:colFirst="0" w:colLast="0" w:name="_q0my9hts6rr1" w:id="20"/>
            <w:bookmarkEnd w:id="2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Falso Positivo (Classificar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88038"/>
                <w:sz w:val="14"/>
                <w:szCs w:val="14"/>
                <w:rtl w:val="0"/>
              </w:rPr>
              <w:t xml:space="preserve">-1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 como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88038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):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Custo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Médio/Baixo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(Bloqueio indevido de site legítimo, gerando atrito temporário).</w:t>
            </w:r>
          </w:p>
          <w:p w:rsidR="00000000" w:rsidDel="00000000" w:rsidP="00000000" w:rsidRDefault="00000000" w:rsidRPr="00000000" w14:paraId="00000028">
            <w:pPr>
              <w:pStyle w:val="Heading3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bookmarkStart w:colFirst="0" w:colLast="0" w:name="_q0my9hts6rr1" w:id="20"/>
            <w:bookmarkEnd w:id="2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Critérios para Deploy:</w:t>
            </w:r>
          </w:p>
          <w:p w:rsidR="00000000" w:rsidDel="00000000" w:rsidP="00000000" w:rsidRDefault="00000000" w:rsidRPr="00000000" w14:paraId="00000029">
            <w:pPr>
              <w:pStyle w:val="Heading3"/>
              <w:spacing w:after="240" w:lineRule="auto"/>
              <w:ind w:left="0" w:firstLine="0"/>
              <w:rPr>
                <w:rFonts w:ascii="Arial" w:cs="Arial" w:eastAsia="Arial" w:hAnsi="Arial"/>
                <w:sz w:val="14"/>
                <w:szCs w:val="14"/>
              </w:rPr>
            </w:pPr>
            <w:bookmarkStart w:colFirst="0" w:colLast="0" w:name="_q0my9hts6rr1" w:id="20"/>
            <w:bookmarkEnd w:id="2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Recall: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$\ge 95\%$ (prioridade em capturar a classe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2A">
            <w:pPr>
              <w:pStyle w:val="Heading3"/>
              <w:spacing w:after="240" w:lineRule="auto"/>
              <w:ind w:left="0" w:firstLine="0"/>
              <w:rPr>
                <w:rFonts w:ascii="Arial" w:cs="Arial" w:eastAsia="Arial" w:hAnsi="Arial"/>
                <w:sz w:val="14"/>
                <w:szCs w:val="14"/>
              </w:rPr>
            </w:pPr>
            <w:bookmarkStart w:colFirst="0" w:colLast="0" w:name="_hbogw1fb2cse" w:id="21"/>
            <w:bookmarkEnd w:id="2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Precision: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$\ge 90\%$ (para mitigar alarmes falsos).</w:t>
            </w:r>
          </w:p>
          <w:p w:rsidR="00000000" w:rsidDel="00000000" w:rsidP="00000000" w:rsidRDefault="00000000" w:rsidRPr="00000000" w14:paraId="0000002B">
            <w:pPr>
              <w:pStyle w:val="Heading3"/>
              <w:pageBreakBefore w:val="0"/>
              <w:spacing w:after="200" w:lineRule="auto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q0my9hts6rr1" w:id="20"/>
            <w:bookmarkEnd w:id="2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ageBreakBefore w:val="0"/>
              <w:spacing w:after="200" w:lineRule="auto"/>
              <w:jc w:val="left"/>
              <w:rPr>
                <w:rFonts w:ascii="IBM Plex Sans" w:cs="IBM Plex Sans" w:eastAsia="IBM Plex Sans" w:hAnsi="IBM Plex Sans"/>
                <w:color w:val="020094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Heading2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bookmarkStart w:colFirst="0" w:colLast="0" w:name="_5s79pjkaaapc" w:id="22"/>
            <w:bookmarkEnd w:id="22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MAKING PREDICTIONS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b="0" l="0" r="0" t="0"/>
                  <wp:wrapSquare wrapText="bothSides" distB="0" distT="0" distL="0" distR="0"/>
                  <wp:docPr id="1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2E">
            <w:pPr>
              <w:pStyle w:val="Heading3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bookmarkStart w:colFirst="0" w:colLast="0" w:name="_crxt7dvm8btd" w:id="23"/>
            <w:bookmarkEnd w:id="23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Modo de Operação:</w:t>
            </w:r>
          </w:p>
          <w:p w:rsidR="00000000" w:rsidDel="00000000" w:rsidP="00000000" w:rsidRDefault="00000000" w:rsidRPr="00000000" w14:paraId="0000002F">
            <w:pPr>
              <w:pStyle w:val="Heading3"/>
              <w:spacing w:after="240" w:lineRule="auto"/>
              <w:ind w:left="0" w:firstLine="0"/>
              <w:rPr>
                <w:rFonts w:ascii="Arial" w:cs="Arial" w:eastAsia="Arial" w:hAnsi="Arial"/>
                <w:sz w:val="14"/>
                <w:szCs w:val="14"/>
              </w:rPr>
            </w:pPr>
            <w:bookmarkStart w:colFirst="0" w:colLast="0" w:name="_crxt7dvm8btd" w:id="23"/>
            <w:bookmarkEnd w:id="23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Tempo Real: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Interceção via API REST para pedidos de navegação.</w:t>
            </w:r>
          </w:p>
          <w:p w:rsidR="00000000" w:rsidDel="00000000" w:rsidP="00000000" w:rsidRDefault="00000000" w:rsidRPr="00000000" w14:paraId="00000030">
            <w:pPr>
              <w:pStyle w:val="Heading3"/>
              <w:spacing w:after="240" w:lineRule="auto"/>
              <w:ind w:left="0" w:firstLine="0"/>
              <w:rPr>
                <w:rFonts w:ascii="Arial" w:cs="Arial" w:eastAsia="Arial" w:hAnsi="Arial"/>
                <w:sz w:val="14"/>
                <w:szCs w:val="14"/>
              </w:rPr>
            </w:pPr>
            <w:bookmarkStart w:colFirst="0" w:colLast="0" w:name="_crxt7dvm8btd" w:id="23"/>
            <w:bookmarkEnd w:id="23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Batch: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Análise assíncrona periódica em caixas de correio eletrónico.</w:t>
            </w:r>
          </w:p>
          <w:p w:rsidR="00000000" w:rsidDel="00000000" w:rsidP="00000000" w:rsidRDefault="00000000" w:rsidRPr="00000000" w14:paraId="00000031">
            <w:pPr>
              <w:pStyle w:val="Heading3"/>
              <w:rPr>
                <w:rFonts w:ascii="Arial" w:cs="Arial" w:eastAsia="Arial" w:hAnsi="Arial"/>
                <w:sz w:val="14"/>
                <w:szCs w:val="14"/>
              </w:rPr>
            </w:pPr>
            <w:bookmarkStart w:colFirst="0" w:colLast="0" w:name="_crxt7dvm8btd" w:id="23"/>
            <w:bookmarkEnd w:id="23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Tempo Disponível (Latência):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$&lt; 100\text{ ms}$ por requisição.</w:t>
            </w:r>
          </w:p>
          <w:p w:rsidR="00000000" w:rsidDel="00000000" w:rsidP="00000000" w:rsidRDefault="00000000" w:rsidRPr="00000000" w14:paraId="00000032">
            <w:pPr>
              <w:pStyle w:val="Heading3"/>
              <w:rPr>
                <w:rFonts w:ascii="Arial" w:cs="Arial" w:eastAsia="Arial" w:hAnsi="Arial"/>
                <w:sz w:val="14"/>
                <w:szCs w:val="14"/>
              </w:rPr>
            </w:pPr>
            <w:bookmarkStart w:colFirst="0" w:colLast="0" w:name="_imziaoopzbnq" w:id="24"/>
            <w:bookmarkEnd w:id="24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Infraestrutura: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Microsserviços em Docker orquestrados via Kubernetes.</w:t>
            </w:r>
          </w:p>
          <w:p w:rsidR="00000000" w:rsidDel="00000000" w:rsidP="00000000" w:rsidRDefault="00000000" w:rsidRPr="00000000" w14:paraId="00000033">
            <w:pPr>
              <w:pStyle w:val="Heading3"/>
              <w:pageBreakBefore w:val="0"/>
              <w:spacing w:after="200" w:lineRule="auto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crxt7dvm8btd" w:id="23"/>
            <w:bookmarkEnd w:id="2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ageBreakBefore w:val="0"/>
              <w:spacing w:after="200" w:lineRule="auto"/>
              <w:jc w:val="left"/>
              <w:rPr>
                <w:rFonts w:ascii="IBM Plex Sans" w:cs="IBM Plex Sans" w:eastAsia="IBM Plex Sans" w:hAnsi="IBM Plex Sans"/>
                <w:b w:val="1"/>
                <w:bCs w:val="1"/>
                <w:color w:val="020094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spacing w:after="200" w:lineRule="auto"/>
              <w:jc w:val="left"/>
              <w:rPr>
                <w:rFonts w:ascii="IBM Plex Sans" w:cs="IBM Plex Sans" w:eastAsia="IBM Plex Sans" w:hAnsi="IBM Plex Sans"/>
                <w:b w:val="1"/>
                <w:bCs w:val="1"/>
                <w:color w:val="020094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81vf84j4p1ue" w:id="25"/>
            <w:bookmarkEnd w:id="25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BUILDING MODELS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b="0" l="0" r="0" t="0"/>
                  <wp:wrapSquare wrapText="bothSides" distB="0" distT="0" distL="0" distR="0"/>
                  <wp:docPr id="1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7">
            <w:pPr>
              <w:pStyle w:val="Heading3"/>
              <w:pageBreakBefore w:val="0"/>
              <w:spacing w:after="200" w:lineRule="auto"/>
              <w:rPr>
                <w:rFonts w:ascii="Arial" w:cs="Arial" w:eastAsia="Arial" w:hAnsi="Arial"/>
                <w:sz w:val="14"/>
                <w:szCs w:val="14"/>
              </w:rPr>
            </w:pPr>
            <w:bookmarkStart w:colFirst="0" w:colLast="0" w:name="_uqcgz6o8ws7h" w:id="26"/>
            <w:bookmarkEnd w:id="26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Arquitetura: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Modelo tabular baseado em ensembles (ex.: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4"/>
                <w:szCs w:val="14"/>
                <w:rtl w:val="0"/>
              </w:rPr>
              <w:t xml:space="preserve">XGBoost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ou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4"/>
                <w:szCs w:val="14"/>
                <w:rtl w:val="0"/>
              </w:rPr>
              <w:t xml:space="preserve">Random Forest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38">
            <w:pPr>
              <w:pStyle w:val="Heading3"/>
              <w:rPr>
                <w:rFonts w:ascii="Arial" w:cs="Arial" w:eastAsia="Arial" w:hAnsi="Arial"/>
                <w:sz w:val="14"/>
                <w:szCs w:val="14"/>
              </w:rPr>
            </w:pPr>
            <w:bookmarkStart w:colFirst="0" w:colLast="0" w:name="_uqcgz6o8ws7h" w:id="26"/>
            <w:bookmarkEnd w:id="26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Frequência de Atualização: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Re-treino semanal ou quinzenal para acompanhar a evolução das táticas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4"/>
                <w:szCs w:val="14"/>
                <w:rtl w:val="0"/>
              </w:rPr>
              <w:t xml:space="preserve">Concept Drift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39">
            <w:pPr>
              <w:pStyle w:val="Heading3"/>
              <w:rPr>
                <w:rFonts w:ascii="Arial" w:cs="Arial" w:eastAsia="Arial" w:hAnsi="Arial"/>
                <w:sz w:val="14"/>
                <w:szCs w:val="14"/>
              </w:rPr>
            </w:pPr>
            <w:bookmarkStart w:colFirst="0" w:colLast="0" w:name="_1i2bxek8aryq" w:id="27"/>
            <w:bookmarkEnd w:id="27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Recursos Computacionais: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Servidor de treino em nuvem otimizado para tarefas de pré-processamento e ajuste de hiperparâmetros</w:t>
            </w:r>
          </w:p>
          <w:p w:rsidR="00000000" w:rsidDel="00000000" w:rsidP="00000000" w:rsidRDefault="00000000" w:rsidRPr="00000000" w14:paraId="0000003A">
            <w:pPr>
              <w:pStyle w:val="Heading3"/>
              <w:pageBreakBefore w:val="0"/>
              <w:spacing w:after="200" w:lineRule="auto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m6o23xjy1lvl" w:id="28"/>
            <w:bookmarkEnd w:id="2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ageBreakBefore w:val="0"/>
              <w:spacing w:after="200" w:lineRule="auto"/>
              <w:jc w:val="left"/>
              <w:rPr>
                <w:rFonts w:ascii="IBM Plex Sans" w:cs="IBM Plex Sans" w:eastAsia="IBM Plex Sans" w:hAnsi="IBM Plex Sans"/>
                <w:color w:val="020094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2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4e49g6s44q5h" w:id="29"/>
            <w:bookmarkEnd w:id="29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FEATURES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b="0" l="0" r="0" t="0"/>
                  <wp:wrapSquare wrapText="bothSides" distB="0" distT="0" distL="0" distR="0"/>
                  <wp:docPr id="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D">
            <w:pPr>
              <w:pStyle w:val="Heading2"/>
              <w:pageBreakBefore w:val="0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bookmarkStart w:colFirst="0" w:colLast="0" w:name="_nxa6hmb9logv" w:id="30"/>
            <w:bookmarkEnd w:id="30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999999"/>
                <w:sz w:val="14"/>
                <w:szCs w:val="14"/>
                <w:rtl w:val="0"/>
              </w:rPr>
              <w:t xml:space="preserve">Atributos Estruturais e Textuais: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Style w:val="Heading3"/>
              <w:spacing w:after="240" w:lineRule="auto"/>
              <w:ind w:left="0" w:firstLine="0"/>
              <w:rPr>
                <w:rFonts w:ascii="Arial" w:cs="Arial" w:eastAsia="Arial" w:hAnsi="Arial"/>
                <w:sz w:val="14"/>
                <w:szCs w:val="14"/>
              </w:rPr>
            </w:pPr>
            <w:bookmarkStart w:colFirst="0" w:colLast="0" w:name="_7efx3yacbscb" w:id="31"/>
            <w:bookmarkEnd w:id="31"/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Presença de palavras de risco (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14"/>
                <w:szCs w:val="14"/>
                <w:rtl w:val="0"/>
              </w:rPr>
              <w:t xml:space="preserve">login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14"/>
                <w:szCs w:val="14"/>
                <w:rtl w:val="0"/>
              </w:rPr>
              <w:t xml:space="preserve">bank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14"/>
                <w:szCs w:val="14"/>
                <w:rtl w:val="0"/>
              </w:rPr>
              <w:t xml:space="preserve">verify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14"/>
                <w:szCs w:val="14"/>
                <w:rtl w:val="0"/>
              </w:rPr>
              <w:t xml:space="preserve">update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3F">
            <w:pPr>
              <w:pStyle w:val="Heading3"/>
              <w:spacing w:after="240" w:lineRule="auto"/>
              <w:ind w:left="0" w:firstLine="0"/>
              <w:rPr>
                <w:rFonts w:ascii="Arial" w:cs="Arial" w:eastAsia="Arial" w:hAnsi="Arial"/>
                <w:sz w:val="14"/>
                <w:szCs w:val="14"/>
              </w:rPr>
            </w:pPr>
            <w:bookmarkStart w:colFirst="0" w:colLast="0" w:name="_7efx3yacbscb" w:id="31"/>
            <w:bookmarkEnd w:id="31"/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Comprimento total da URL e contagem de caracteres especiais (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14"/>
                <w:szCs w:val="14"/>
                <w:rtl w:val="0"/>
              </w:rPr>
              <w:t xml:space="preserve">@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14"/>
                <w:szCs w:val="14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14"/>
                <w:szCs w:val="14"/>
                <w:rtl w:val="0"/>
              </w:rPr>
              <w:t xml:space="preserve">?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14"/>
                <w:szCs w:val="14"/>
                <w:rtl w:val="0"/>
              </w:rPr>
              <w:t xml:space="preserve">%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40">
            <w:pPr>
              <w:pStyle w:val="Heading3"/>
              <w:spacing w:after="240" w:lineRule="auto"/>
              <w:ind w:left="0" w:firstLine="0"/>
              <w:rPr>
                <w:rFonts w:ascii="Arial" w:cs="Arial" w:eastAsia="Arial" w:hAnsi="Arial"/>
                <w:sz w:val="14"/>
                <w:szCs w:val="14"/>
              </w:rPr>
            </w:pPr>
            <w:bookmarkStart w:colFirst="0" w:colLast="0" w:name="_7efx3yacbscb" w:id="31"/>
            <w:bookmarkEnd w:id="31"/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Presença de endereço IP no lugar do nome de domínio.</w:t>
            </w:r>
          </w:p>
          <w:p w:rsidR="00000000" w:rsidDel="00000000" w:rsidP="00000000" w:rsidRDefault="00000000" w:rsidRPr="00000000" w14:paraId="00000041">
            <w:pPr>
              <w:pStyle w:val="Heading3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bookmarkStart w:colFirst="0" w:colLast="0" w:name="_7efx3yacbscb" w:id="31"/>
            <w:bookmarkEnd w:id="3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Atributos de Domínio e Rede:</w:t>
            </w:r>
          </w:p>
          <w:p w:rsidR="00000000" w:rsidDel="00000000" w:rsidP="00000000" w:rsidRDefault="00000000" w:rsidRPr="00000000" w14:paraId="00000042">
            <w:pPr>
              <w:pStyle w:val="Heading3"/>
              <w:spacing w:after="240" w:lineRule="auto"/>
              <w:ind w:left="0" w:firstLine="0"/>
              <w:rPr>
                <w:rFonts w:ascii="Arial" w:cs="Arial" w:eastAsia="Arial" w:hAnsi="Arial"/>
                <w:sz w:val="14"/>
                <w:szCs w:val="14"/>
              </w:rPr>
            </w:pPr>
            <w:bookmarkStart w:colFirst="0" w:colLast="0" w:name="_7efx3yacbscb" w:id="31"/>
            <w:bookmarkEnd w:id="31"/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Tempo de registo e idade do domínio (WHOIS).</w:t>
            </w:r>
          </w:p>
          <w:p w:rsidR="00000000" w:rsidDel="00000000" w:rsidP="00000000" w:rsidRDefault="00000000" w:rsidRPr="00000000" w14:paraId="00000043">
            <w:pPr>
              <w:pStyle w:val="Heading3"/>
              <w:spacing w:after="240" w:lineRule="auto"/>
              <w:ind w:left="0" w:firstLine="0"/>
              <w:rPr>
                <w:rFonts w:ascii="Arial" w:cs="Arial" w:eastAsia="Arial" w:hAnsi="Arial"/>
                <w:sz w:val="14"/>
                <w:szCs w:val="14"/>
              </w:rPr>
            </w:pPr>
            <w:bookmarkStart w:colFirst="0" w:colLast="0" w:name="_4pwaswbbqch4" w:id="32"/>
            <w:bookmarkEnd w:id="32"/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Validade do Certificado SSL/TLS e número de redirecionamentos HTTP.</w:t>
            </w:r>
          </w:p>
          <w:p w:rsidR="00000000" w:rsidDel="00000000" w:rsidP="00000000" w:rsidRDefault="00000000" w:rsidRPr="00000000" w14:paraId="00000044">
            <w:pPr>
              <w:pStyle w:val="Heading3"/>
              <w:spacing w:after="200" w:lineRule="auto"/>
              <w:rPr>
                <w:rFonts w:ascii="IBM Plex Sans" w:cs="IBM Plex Sans" w:eastAsia="IBM Plex Sans" w:hAnsi="IBM Plex Sans"/>
                <w:b w:val="1"/>
                <w:bCs w:val="1"/>
                <w:color w:val="020094"/>
                <w:sz w:val="26"/>
                <w:szCs w:val="26"/>
              </w:rPr>
            </w:pPr>
            <w:bookmarkStart w:colFirst="0" w:colLast="0" w:name="_ietgdg19pjqa" w:id="33"/>
            <w:bookmarkEnd w:id="3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ageBreakBefore w:val="0"/>
              <w:spacing w:after="200" w:lineRule="auto"/>
              <w:jc w:val="left"/>
              <w:rPr>
                <w:rFonts w:ascii="IBM Plex Sans" w:cs="IBM Plex Sans" w:eastAsia="IBM Plex Sans" w:hAnsi="IBM Plex Sans"/>
                <w:color w:val="020094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24" w:val="single"/>
              <w:bottom w:color="000000" w:space="0" w:sz="24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jc w:val="left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24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99rbzexhxp86" w:id="34"/>
            <w:bookmarkEnd w:id="34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MONITORING</w:t>
            </w:r>
          </w:p>
          <w:p w:rsidR="00000000" w:rsidDel="00000000" w:rsidP="00000000" w:rsidRDefault="00000000" w:rsidRPr="00000000" w14:paraId="00000048">
            <w:pPr>
              <w:pStyle w:val="Heading3"/>
              <w:rPr>
                <w:rFonts w:ascii="IBM Plex Sans" w:cs="IBM Plex Sans" w:eastAsia="IBM Plex Sans" w:hAnsi="IBM Plex Sans"/>
                <w:sz w:val="14"/>
                <w:szCs w:val="14"/>
              </w:rPr>
            </w:pPr>
            <w:bookmarkStart w:colFirst="0" w:colLast="0" w:name="_yrsc8mhn4oky" w:id="35"/>
            <w:bookmarkEnd w:id="35"/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4"/>
                <w:szCs w:val="14"/>
                <w:rtl w:val="0"/>
              </w:rPr>
              <w:t xml:space="preserve">Métricas Técnicas:</w:t>
            </w:r>
            <w:r w:rsidDel="00000000" w:rsidR="00000000" w:rsidRPr="00000000">
              <w:rPr>
                <w:rFonts w:ascii="IBM Plex Sans" w:cs="IBM Plex Sans" w:eastAsia="IBM Plex Sans" w:hAnsi="IBM Plex Sans"/>
                <w:sz w:val="14"/>
                <w:szCs w:val="14"/>
                <w:rtl w:val="0"/>
              </w:rPr>
              <w:t xml:space="preserve"> Acompanhamento contínuo de </w:t>
            </w:r>
            <w:r w:rsidDel="00000000" w:rsidR="00000000" w:rsidRPr="00000000">
              <w:rPr>
                <w:rFonts w:ascii="IBM Plex Sans" w:cs="IBM Plex Sans" w:eastAsia="IBM Plex Sans" w:hAnsi="IBM Plex Sans"/>
                <w:i w:val="1"/>
                <w:iCs w:val="1"/>
                <w:sz w:val="14"/>
                <w:szCs w:val="14"/>
                <w:rtl w:val="0"/>
              </w:rPr>
              <w:t xml:space="preserve">Recall</w:t>
            </w:r>
            <w:r w:rsidDel="00000000" w:rsidR="00000000" w:rsidRPr="00000000">
              <w:rPr>
                <w:rFonts w:ascii="IBM Plex Sans" w:cs="IBM Plex Sans" w:eastAsia="IBM Plex Sans" w:hAnsi="IBM Plex Sans"/>
                <w:sz w:val="14"/>
                <w:szCs w:val="14"/>
                <w:rtl w:val="0"/>
              </w:rPr>
              <w:t xml:space="preserve">, </w:t>
            </w:r>
            <w:r w:rsidDel="00000000" w:rsidR="00000000" w:rsidRPr="00000000">
              <w:rPr>
                <w:rFonts w:ascii="IBM Plex Sans" w:cs="IBM Plex Sans" w:eastAsia="IBM Plex Sans" w:hAnsi="IBM Plex Sans"/>
                <w:i w:val="1"/>
                <w:iCs w:val="1"/>
                <w:sz w:val="14"/>
                <w:szCs w:val="14"/>
                <w:rtl w:val="0"/>
              </w:rPr>
              <w:t xml:space="preserve">Precision</w:t>
            </w:r>
            <w:r w:rsidDel="00000000" w:rsidR="00000000" w:rsidRPr="00000000">
              <w:rPr>
                <w:rFonts w:ascii="IBM Plex Sans" w:cs="IBM Plex Sans" w:eastAsia="IBM Plex Sans" w:hAnsi="IBM Plex Sans"/>
                <w:sz w:val="14"/>
                <w:szCs w:val="14"/>
                <w:rtl w:val="0"/>
              </w:rPr>
              <w:t xml:space="preserve">, </w:t>
            </w:r>
            <w:r w:rsidDel="00000000" w:rsidR="00000000" w:rsidRPr="00000000">
              <w:rPr>
                <w:rFonts w:ascii="IBM Plex Sans" w:cs="IBM Plex Sans" w:eastAsia="IBM Plex Sans" w:hAnsi="IBM Plex Sans"/>
                <w:i w:val="1"/>
                <w:iCs w:val="1"/>
                <w:sz w:val="14"/>
                <w:szCs w:val="14"/>
                <w:rtl w:val="0"/>
              </w:rPr>
              <w:t xml:space="preserve">F1-Score</w:t>
            </w:r>
            <w:r w:rsidDel="00000000" w:rsidR="00000000" w:rsidRPr="00000000">
              <w:rPr>
                <w:rFonts w:ascii="IBM Plex Sans" w:cs="IBM Plex Sans" w:eastAsia="IBM Plex Sans" w:hAnsi="IBM Plex Sans"/>
                <w:sz w:val="14"/>
                <w:szCs w:val="14"/>
                <w:rtl w:val="0"/>
              </w:rPr>
              <w:t xml:space="preserve">, latência da API e desvio de distribuição de dados (</w:t>
            </w:r>
            <w:r w:rsidDel="00000000" w:rsidR="00000000" w:rsidRPr="00000000">
              <w:rPr>
                <w:rFonts w:ascii="IBM Plex Sans" w:cs="IBM Plex Sans" w:eastAsia="IBM Plex Sans" w:hAnsi="IBM Plex Sans"/>
                <w:i w:val="1"/>
                <w:iCs w:val="1"/>
                <w:sz w:val="14"/>
                <w:szCs w:val="14"/>
                <w:rtl w:val="0"/>
              </w:rPr>
              <w:t xml:space="preserve">Data Drift</w:t>
            </w:r>
            <w:r w:rsidDel="00000000" w:rsidR="00000000" w:rsidRPr="00000000">
              <w:rPr>
                <w:rFonts w:ascii="IBM Plex Sans" w:cs="IBM Plex Sans" w:eastAsia="IBM Plex Sans" w:hAnsi="IBM Plex Sans"/>
                <w:sz w:val="14"/>
                <w:szCs w:val="14"/>
                <w:rtl w:val="0"/>
              </w:rPr>
              <w:t xml:space="preserve">)[cite: 1, 3].</w:t>
            </w:r>
          </w:p>
          <w:p w:rsidR="00000000" w:rsidDel="00000000" w:rsidP="00000000" w:rsidRDefault="00000000" w:rsidRPr="00000000" w14:paraId="00000049">
            <w:pPr>
              <w:pStyle w:val="Heading3"/>
              <w:rPr>
                <w:rFonts w:ascii="IBM Plex Sans" w:cs="IBM Plex Sans" w:eastAsia="IBM Plex Sans" w:hAnsi="IBM Plex Sans"/>
                <w:sz w:val="14"/>
                <w:szCs w:val="14"/>
              </w:rPr>
            </w:pPr>
            <w:bookmarkStart w:colFirst="0" w:colLast="0" w:name="_yrsc8mhn4oky" w:id="35"/>
            <w:bookmarkEnd w:id="35"/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4"/>
                <w:szCs w:val="14"/>
                <w:rtl w:val="0"/>
              </w:rPr>
              <w:t xml:space="preserve">Métricas de Negócio:</w:t>
            </w:r>
            <w:r w:rsidDel="00000000" w:rsidR="00000000" w:rsidRPr="00000000">
              <w:rPr>
                <w:rFonts w:ascii="IBM Plex Sans" w:cs="IBM Plex Sans" w:eastAsia="IBM Plex Sans" w:hAnsi="IBM Plex Sans"/>
                <w:sz w:val="14"/>
                <w:szCs w:val="14"/>
                <w:rtl w:val="0"/>
              </w:rPr>
              <w:t xml:space="preserve"> Redução na taxa de cliques em links maliciosos e total de incidentes evitados[cite: 1, 3].</w:t>
            </w:r>
          </w:p>
          <w:p w:rsidR="00000000" w:rsidDel="00000000" w:rsidP="00000000" w:rsidRDefault="00000000" w:rsidRPr="00000000" w14:paraId="0000004A">
            <w:pPr>
              <w:pStyle w:val="Heading3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fqxm9jh1tstv" w:id="36"/>
            <w:bookmarkEnd w:id="36"/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4"/>
                <w:szCs w:val="14"/>
                <w:rtl w:val="0"/>
              </w:rPr>
              <w:t xml:space="preserve">Frequência de Revisão:</w:t>
            </w:r>
            <w:r w:rsidDel="00000000" w:rsidR="00000000" w:rsidRPr="00000000">
              <w:rPr>
                <w:rFonts w:ascii="IBM Plex Sans" w:cs="IBM Plex Sans" w:eastAsia="IBM Plex Sans" w:hAnsi="IBM Plex Sans"/>
                <w:sz w:val="14"/>
                <w:szCs w:val="14"/>
                <w:rtl w:val="0"/>
              </w:rPr>
              <w:t xml:space="preserve"> Dashboards em tempo real e auditoria técnica semanal[cite: 1, 3].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24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spacing w:after="200" w:lineRule="auto"/>
              <w:jc w:val="left"/>
              <w:rPr>
                <w:rFonts w:ascii="IBM Plex Sans" w:cs="IBM Plex Sans" w:eastAsia="IBM Plex Sans" w:hAnsi="IBM Plex Sans"/>
                <w:color w:val="020094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24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spacing w:after="200" w:lineRule="auto"/>
              <w:jc w:val="left"/>
              <w:rPr>
                <w:rFonts w:ascii="IBM Plex Sans" w:cs="IBM Plex Sans" w:eastAsia="IBM Plex Sans" w:hAnsi="IBM Plex Sans"/>
                <w:color w:val="020094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1314450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b="0" l="0" r="0" t="0"/>
                  <wp:wrapSquare wrapText="bothSides" distB="0" distT="0" distL="0" distR="0"/>
                  <wp:docPr id="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24" w:val="single"/>
              <w:right w:color="000000" w:space="0" w:sz="2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spacing w:after="200" w:lineRule="auto"/>
              <w:jc w:val="left"/>
              <w:rPr>
                <w:rFonts w:ascii="IBM Plex Sans" w:cs="IBM Plex Sans" w:eastAsia="IBM Plex Sans" w:hAnsi="IBM Plex Sans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pageBreakBefore w:val="0"/>
        <w:jc w:val="left"/>
        <w:rPr>
          <w:rFonts w:ascii="IBM Plex Sans" w:cs="IBM Plex Sans" w:eastAsia="IBM Plex Sans" w:hAnsi="IBM Plex Sans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4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9720"/>
        <w:gridCol w:w="2685"/>
        <w:tblGridChange w:id="0">
          <w:tblGrid>
            <w:gridCol w:w="2010"/>
            <w:gridCol w:w="9720"/>
            <w:gridCol w:w="26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spacing w:before="60" w:line="300" w:lineRule="auto"/>
              <w:jc w:val="left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4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IBM Plex Sans" w:cs="IBM Plex Sans" w:eastAsia="IBM Plex Sans" w:hAnsi="IBM Plex Sans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IBM Plex Sans" w:cs="IBM Plex Sans" w:eastAsia="IBM Plex Sans" w:hAnsi="IBM Plex Sans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IBM Plex Sans" w:cs="IBM Plex Sans" w:eastAsia="IBM Plex Sans" w:hAnsi="IBM Plex Sans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IBM Plex Sans" w:cs="IBM Plex Sans" w:eastAsia="IBM Plex Sans" w:hAnsi="IBM Plex Sans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spacing w:line="300" w:lineRule="auto"/>
              <w:jc w:val="left"/>
              <w:rPr>
                <w:rFonts w:ascii="IBM Plex Sans" w:cs="IBM Plex Sans" w:eastAsia="IBM Plex Sans" w:hAnsi="IBM Plex Sans"/>
                <w:sz w:val="14"/>
                <w:szCs w:val="1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4"/>
                <w:szCs w:val="14"/>
                <w:rtl w:val="0"/>
              </w:rPr>
              <w:t xml:space="preserve">Version 1.2. Created by Louis Dorard, Ph.D. Licensed under a </w:t>
            </w:r>
            <w:hyperlink r:id="rId21">
              <w:r w:rsidDel="00000000" w:rsidR="00000000" w:rsidRPr="00000000">
                <w:rPr>
                  <w:rFonts w:ascii="IBM Plex Sans" w:cs="IBM Plex Sans" w:eastAsia="IBM Plex Sans" w:hAnsi="IBM Plex Sans"/>
                  <w:sz w:val="14"/>
                  <w:szCs w:val="14"/>
                  <w:u w:val="single"/>
                  <w:rtl w:val="0"/>
                </w:rPr>
                <w:t xml:space="preserve">Creative Commons Attribution-ShareAlike 4.0 International License</w:t>
              </w:r>
            </w:hyperlink>
            <w:r w:rsidDel="00000000" w:rsidR="00000000" w:rsidRPr="00000000">
              <w:rPr>
                <w:rFonts w:ascii="IBM Plex Sans" w:cs="IBM Plex Sans" w:eastAsia="IBM Plex Sans" w:hAnsi="IBM Plex Sans"/>
                <w:sz w:val="14"/>
                <w:szCs w:val="14"/>
                <w:rtl w:val="0"/>
              </w:rPr>
              <w:t xml:space="preserve">.</w:t>
              <w:br w:type="textWrapping"/>
              <w:t xml:space="preserve">Please keep this mention and the link to </w:t>
            </w:r>
            <w:hyperlink r:id="rId22">
              <w:r w:rsidDel="00000000" w:rsidR="00000000" w:rsidRPr="00000000">
                <w:rPr>
                  <w:rFonts w:ascii="IBM Plex Sans" w:cs="IBM Plex Sans" w:eastAsia="IBM Plex Sans" w:hAnsi="IBM Plex Sans"/>
                  <w:sz w:val="14"/>
                  <w:szCs w:val="14"/>
                  <w:u w:val="single"/>
                  <w:rtl w:val="0"/>
                </w:rPr>
                <w:t xml:space="preserve">ownml.co</w:t>
              </w:r>
            </w:hyperlink>
            <w:r w:rsidDel="00000000" w:rsidR="00000000" w:rsidRPr="00000000">
              <w:rPr>
                <w:rFonts w:ascii="IBM Plex Sans" w:cs="IBM Plex Sans" w:eastAsia="IBM Plex Sans" w:hAnsi="IBM Plex Sans"/>
                <w:sz w:val="14"/>
                <w:szCs w:val="14"/>
                <w:rtl w:val="0"/>
              </w:rPr>
              <w:t xml:space="preserve"> when sharing.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spacing w:before="60" w:line="300" w:lineRule="auto"/>
              <w:jc w:val="right"/>
              <w:rPr>
                <w:rFonts w:ascii="IBM Plex Sans" w:cs="IBM Plex Sans" w:eastAsia="IBM Plex Sans" w:hAnsi="IBM Plex Sans"/>
                <w:color w:val="a35a00"/>
                <w:sz w:val="22"/>
                <w:szCs w:val="22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 </w:t>
            </w:r>
            <w:hyperlink r:id="rId23">
              <w:r w:rsidDel="00000000" w:rsidR="00000000" w:rsidRPr="00000000">
                <w:rPr>
                  <w:rFonts w:ascii="IBM Plex Sans" w:cs="IBM Plex Sans" w:eastAsia="IBM Plex Sans" w:hAnsi="IBM Plex Sans"/>
                  <w:b w:val="1"/>
                  <w:bCs w:val="1"/>
                  <w:color w:val="a35a00"/>
                  <w:sz w:val="30"/>
                  <w:szCs w:val="30"/>
                  <w:u w:val="single"/>
                  <w:rtl w:val="0"/>
                </w:rPr>
                <w:t xml:space="preserve">OWNML.CO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Style w:val="Heading1"/>
        <w:pageBreakBefore w:val="0"/>
        <w:rPr>
          <w:rFonts w:ascii="IBM Plex Sans" w:cs="IBM Plex Sans" w:eastAsia="IBM Plex Sans" w:hAnsi="IBM Plex Sans"/>
        </w:rPr>
      </w:pPr>
      <w:bookmarkStart w:colFirst="0" w:colLast="0" w:name="_c5vfevmt07y6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IBM Plex Sans" w:cs="IBM Plex Sans" w:eastAsia="IBM Plex Sans" w:hAnsi="IBM Plex Sans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30"/>
          <w:szCs w:val="30"/>
          <w:rtl w:val="0"/>
        </w:rPr>
        <w:t xml:space="preserve">Filling in all 10 boxes is the easy part.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IBM Plex Sans" w:cs="IBM Plex Sans" w:eastAsia="IBM Plex Sans" w:hAnsi="IBM Plex Sans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30"/>
        <w:gridCol w:w="870"/>
        <w:gridCol w:w="6900"/>
        <w:tblGridChange w:id="0">
          <w:tblGrid>
            <w:gridCol w:w="6630"/>
            <w:gridCol w:w="87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A filled canvas isn't a plan. It's a set of claims: what's predictable, what data exists, who will act on the prediction, and what that's worth. Every one of them can be wrong on a canvas that looks finished.</w:t>
            </w:r>
          </w:p>
          <w:p w:rsidR="00000000" w:rsidDel="00000000" w:rsidP="00000000" w:rsidRDefault="00000000" w:rsidRPr="00000000" w14:paraId="00000056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  <w:rtl w:val="0"/>
              </w:rPr>
              <w:t xml:space="preserve">7 checks before you build:</w:t>
            </w:r>
          </w:p>
          <w:p w:rsidR="00000000" w:rsidDel="00000000" w:rsidP="00000000" w:rsidRDefault="00000000" w:rsidRPr="00000000" w14:paraId="00000059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"/>
              </w:numPr>
              <w:ind w:left="720" w:hanging="360"/>
              <w:rPr>
                <w:rFonts w:ascii="IBM Plex Sans" w:cs="IBM Plex Sans" w:eastAsia="IBM Plex Sans" w:hAnsi="IBM Plex Sans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  <w:rtl w:val="0"/>
              </w:rPr>
              <w:t xml:space="preserve">A number, in dollars.</w:t>
            </w: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 What one avoided incident or one retained customer is worth. Without it you can't set a deployment threshold or defend a budget.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"/>
              </w:numPr>
              <w:ind w:left="720" w:hanging="360"/>
              <w:rPr>
                <w:rFonts w:ascii="IBM Plex Sans" w:cs="IBM Plex Sans" w:eastAsia="IBM Plex Sans" w:hAnsi="IBM Plex Sans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  <w:rtl w:val="0"/>
              </w:rPr>
              <w:t xml:space="preserve">A named person who acts on the prediction.</w:t>
            </w: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 At a stated threshold, with capacity for the volume it produces.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"/>
              </w:numPr>
              <w:ind w:left="720" w:hanging="360"/>
              <w:rPr>
                <w:rFonts w:ascii="IBM Plex Sans" w:cs="IBM Plex Sans" w:eastAsia="IBM Plex Sans" w:hAnsi="IBM Plex Sans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  <w:rtl w:val="0"/>
              </w:rPr>
              <w:t xml:space="preserve">Every feature available at the moment of prediction.</w:t>
            </w: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 Anything you only know after the outcome is leakage. It inflates your offline results and nothing else.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"/>
              </w:numPr>
              <w:ind w:left="720" w:hanging="360"/>
              <w:rPr>
                <w:rFonts w:ascii="IBM Plex Sans" w:cs="IBM Plex Sans" w:eastAsia="IBM Plex Sans" w:hAnsi="IBM Plex Sans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  <w:rtl w:val="0"/>
              </w:rPr>
              <w:t xml:space="preserve">Labels that exist.</w:t>
            </w: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 Count the past cases whose outcome you already know, and how many of those are the case you're predicting. A case only counts once the wait window has closed: the time between making the prediction and seeing what actually happened.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"/>
              </w:numPr>
              <w:ind w:left="720" w:hanging="360"/>
              <w:rPr>
                <w:rFonts w:ascii="IBM Plex Sans" w:cs="IBM Plex Sans" w:eastAsia="IBM Plex Sans" w:hAnsi="IBM Plex Sans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  <w:rtl w:val="0"/>
              </w:rPr>
              <w:t xml:space="preserve">A holdout, if acting on the prediction changes the outcome.</w:t>
            </w: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 Send a retention offer to everyone the model flags and you never learn who would have stayed anyway. The next model trains on results your own actions produced. Keep a small share out of it.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"/>
              </w:numPr>
              <w:ind w:left="720" w:hanging="360"/>
              <w:rPr>
                <w:rFonts w:ascii="IBM Plex Sans" w:cs="IBM Plex Sans" w:eastAsia="IBM Plex Sans" w:hAnsi="IBM Plex Sans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  <w:rtl w:val="0"/>
              </w:rPr>
              <w:t xml:space="preserve">An evaluation counted in events, not rows.</w:t>
            </w: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 A test set of 35,040 machine-hours can contain 3 or 4 failures, and a recall figure measured on 4 failures isn't stable. Aim for at least 30.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"/>
              </w:numPr>
              <w:ind w:left="720" w:hanging="360"/>
              <w:rPr>
                <w:rFonts w:ascii="IBM Plex Sans" w:cs="IBM Plex Sans" w:eastAsia="IBM Plex Sans" w:hAnsi="IBM Plex Sans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  <w:rtl w:val="0"/>
              </w:rPr>
              <w:t xml:space="preserve">Legible to someone who wasn't in the room.</w:t>
            </w: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 Most of the people who use it later weren't.</w:t>
            </w:r>
          </w:p>
          <w:p w:rsidR="00000000" w:rsidDel="00000000" w:rsidP="00000000" w:rsidRDefault="00000000" w:rsidRPr="00000000" w14:paraId="00000061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Whatever you can't answer is the work left before anyone writes code.</w:t>
            </w:r>
          </w:p>
          <w:p w:rsidR="00000000" w:rsidDel="00000000" w:rsidP="00000000" w:rsidRDefault="00000000" w:rsidRPr="00000000" w14:paraId="00000063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i w:val="1"/>
                <w:iCs w:val="1"/>
                <w:sz w:val="18"/>
                <w:szCs w:val="18"/>
                <w:rtl w:val="0"/>
              </w:rPr>
              <w:t xml:space="preserve">"The Canvas allowed us to structure and focus our delivery sprints. The ML system went live in June 2020 and still is."</w:t>
            </w: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br w:type="textWrapping"/>
              <w:t xml:space="preserve">— Christian Schiller, Senior IT &amp; Enterprise Architect, Deutsche Telekom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  <w:rtl w:val="0"/>
              </w:rPr>
              <w:t xml:space="preserve">Get help running it</w:t>
            </w:r>
          </w:p>
          <w:p w:rsidR="00000000" w:rsidDel="00000000" w:rsidP="00000000" w:rsidRDefault="00000000" w:rsidRPr="00000000" w14:paraId="00000070">
            <w:pPr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Louis Dorard created the canvas in 2015 and runs it as a working session on live projects: frame the problem, then test that framing against the data you actually have. You leave with a dollar estimate of what the system is worth, and a spec your engineers/agents can build from.</w:t>
            </w:r>
          </w:p>
          <w:p w:rsidR="00000000" w:rsidDel="00000000" w:rsidP="00000000" w:rsidRDefault="00000000" w:rsidRPr="00000000" w14:paraId="00000072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Bring a project you're scoping now, and you'll leave the call knowing which parts of your canvas your data won't support.</w:t>
            </w:r>
          </w:p>
          <w:p w:rsidR="00000000" w:rsidDel="00000000" w:rsidP="00000000" w:rsidRDefault="00000000" w:rsidRPr="00000000" w14:paraId="00000074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>
                <w:rFonts w:ascii="IBM Plex Sans" w:cs="IBM Plex Sans" w:eastAsia="IBM Plex Sans" w:hAnsi="IBM Plex Sans"/>
                <w:b w:val="1"/>
                <w:bCs w:val="1"/>
                <w:color w:val="a35a00"/>
                <w:sz w:val="18"/>
                <w:szCs w:val="18"/>
              </w:rPr>
            </w:pPr>
            <w:hyperlink r:id="rId24">
              <w:r w:rsidDel="00000000" w:rsidR="00000000" w:rsidRPr="00000000">
                <w:rPr>
                  <w:rFonts w:ascii="IBM Plex Sans" w:cs="IBM Plex Sans" w:eastAsia="IBM Plex Sans" w:hAnsi="IBM Plex Sans"/>
                  <w:b w:val="1"/>
                  <w:bCs w:val="1"/>
                  <w:color w:val="a35a00"/>
                  <w:sz w:val="18"/>
                  <w:szCs w:val="18"/>
                  <w:u w:val="single"/>
                  <w:rtl w:val="0"/>
                </w:rPr>
                <w:t xml:space="preserve">Book a 30-minute call →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>
                <w:rFonts w:ascii="IBM Plex Sans" w:cs="IBM Plex Sans" w:eastAsia="IBM Plex Sans" w:hAnsi="IBM Plex Sans"/>
                <w:sz w:val="14"/>
                <w:szCs w:val="1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Working on this with someone else? Send them to </w:t>
            </w:r>
            <w:hyperlink r:id="rId25">
              <w:r w:rsidDel="00000000" w:rsidR="00000000" w:rsidRPr="00000000">
                <w:rPr>
                  <w:rFonts w:ascii="IBM Plex Sans" w:cs="IBM Plex Sans" w:eastAsia="IBM Plex Sans" w:hAnsi="IBM Plex Sans"/>
                  <w:color w:val="a35a00"/>
                  <w:sz w:val="18"/>
                  <w:szCs w:val="18"/>
                  <w:u w:val="single"/>
                  <w:rtl w:val="0"/>
                </w:rPr>
                <w:t xml:space="preserve">ownml.co/machine-learning-canvas</w:t>
              </w:r>
            </w:hyperlink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 for their own copy.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  <w:rtl w:val="0"/>
              </w:rPr>
              <w:t xml:space="preserve">Reference the Machine Learning Canvas</w:t>
            </w:r>
          </w:p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If you need to reference the Canvas formally (e.g. in documentation or publications), you may use:</w:t>
            </w:r>
          </w:p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Roboto Mono" w:cs="Roboto Mono" w:eastAsia="Roboto Mono" w:hAnsi="Roboto Mono"/>
                <w:color w:val="b5a897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b5a897"/>
                <w:sz w:val="18"/>
                <w:szCs w:val="18"/>
                <w:rtl w:val="0"/>
              </w:rPr>
              <w:t xml:space="preserve">@misc{mlc,</w:t>
            </w:r>
          </w:p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Roboto Mono" w:cs="Roboto Mono" w:eastAsia="Roboto Mono" w:hAnsi="Roboto Mono"/>
                <w:color w:val="b5a897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b5a897"/>
                <w:sz w:val="18"/>
                <w:szCs w:val="18"/>
                <w:rtl w:val="0"/>
              </w:rPr>
              <w:t xml:space="preserve">  title  = "Machine Learning Canvas",</w:t>
            </w:r>
          </w:p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Roboto Mono" w:cs="Roboto Mono" w:eastAsia="Roboto Mono" w:hAnsi="Roboto Mono"/>
                <w:color w:val="b5a897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b5a897"/>
                <w:sz w:val="18"/>
                <w:szCs w:val="18"/>
                <w:rtl w:val="0"/>
              </w:rPr>
              <w:t xml:space="preserve">  author = "Louis Dorard (OWNML)",</w:t>
            </w:r>
          </w:p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Roboto Mono" w:cs="Roboto Mono" w:eastAsia="Roboto Mono" w:hAnsi="Roboto Mono"/>
                <w:color w:val="b5a897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b5a897"/>
                <w:sz w:val="18"/>
                <w:szCs w:val="18"/>
                <w:rtl w:val="0"/>
              </w:rPr>
              <w:t xml:space="preserve">  url    = "https://www.ownml.co/",</w:t>
            </w:r>
          </w:p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Roboto Mono" w:cs="Roboto Mono" w:eastAsia="Roboto Mono" w:hAnsi="Roboto Mono"/>
                <w:color w:val="b5a897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b5a897"/>
                <w:sz w:val="18"/>
                <w:szCs w:val="18"/>
                <w:rtl w:val="0"/>
              </w:rPr>
              <w:t xml:space="preserve">  year   = "2015"</w:t>
            </w:r>
          </w:p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Roboto Mono" w:cs="Roboto Mono" w:eastAsia="Roboto Mono" w:hAnsi="Roboto Mono"/>
                <w:color w:val="b5a897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b5a897"/>
                <w:sz w:val="18"/>
                <w:szCs w:val="1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i w:val="1"/>
                <w:iCs w:val="1"/>
                <w:sz w:val="18"/>
                <w:szCs w:val="18"/>
                <w:rtl w:val="0"/>
              </w:rPr>
              <w:t xml:space="preserve">"MLC played an essential role in a positive project outcome. It is now being used throughout the organization."</w:t>
            </w: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br w:type="textWrapping"/>
              <w:t xml:space="preserve">— Daitan, now part of Coforge, a global IT services firm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line="276" w:lineRule="auto"/>
        <w:jc w:val="left"/>
        <w:rPr>
          <w:rFonts w:ascii="IBM Plex Sans" w:cs="IBM Plex Sans" w:eastAsia="IBM Plex Sans" w:hAnsi="IBM Plex Sans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0" w:top="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Hind">
    <w:embedRegular w:fontKey="{00000000-0000-0000-0000-000000000000}" r:id="rId9" w:subsetted="0"/>
    <w:embedBold w:fontKey="{00000000-0000-0000-0000-000000000000}" r:id="rId10" w:subsetted="0"/>
  </w:font>
  <w:font w:name="Roboto Mono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oppins" w:cs="Poppins" w:eastAsia="Poppins" w:hAnsi="Poppins"/>
        <w:sz w:val="24"/>
        <w:szCs w:val="24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after="240" w:before="240" w:lineRule="auto"/>
      <w:jc w:val="left"/>
    </w:pPr>
    <w:rPr>
      <w:rFonts w:ascii="Hind" w:cs="Hind" w:eastAsia="Hind" w:hAnsi="Hind"/>
      <w:b w:val="1"/>
      <w:bCs w:val="1"/>
      <w:color w:val="020094"/>
      <w:sz w:val="32"/>
      <w:szCs w:val="32"/>
    </w:rPr>
  </w:style>
  <w:style w:type="paragraph" w:styleId="Heading2">
    <w:name w:val="heading 2"/>
    <w:basedOn w:val="Normal"/>
    <w:next w:val="Normal"/>
    <w:pPr>
      <w:spacing w:after="200" w:lineRule="auto"/>
    </w:pPr>
    <w:rPr>
      <w:b w:val="1"/>
      <w:bCs w:val="1"/>
      <w:sz w:val="18"/>
      <w:szCs w:val="18"/>
    </w:rPr>
  </w:style>
  <w:style w:type="paragraph" w:styleId="Heading3">
    <w:name w:val="heading 3"/>
    <w:basedOn w:val="Normal"/>
    <w:next w:val="Normal"/>
    <w:pPr>
      <w:spacing w:after="200" w:lineRule="auto"/>
      <w:jc w:val="left"/>
    </w:pPr>
    <w:rPr>
      <w:rFonts w:ascii="Poppins" w:cs="Poppins" w:eastAsia="Poppins" w:hAnsi="Poppins"/>
      <w:color w:val="999999"/>
      <w:sz w:val="12"/>
      <w:szCs w:val="12"/>
    </w:rPr>
  </w:style>
  <w:style w:type="paragraph" w:styleId="Heading4">
    <w:name w:val="heading 4"/>
    <w:basedOn w:val="Normal"/>
    <w:next w:val="Normal"/>
    <w:pPr>
      <w:pageBreakBefore w:val="0"/>
      <w:ind w:left="226.7716535433071"/>
      <w:jc w:val="left"/>
    </w:pPr>
    <w:rPr>
      <w:rFonts w:ascii="Hind" w:cs="Hind" w:eastAsia="Hind" w:hAnsi="Hind"/>
      <w:color w:val="666666"/>
      <w:sz w:val="16"/>
      <w:szCs w:val="16"/>
    </w:rPr>
  </w:style>
  <w:style w:type="paragraph" w:styleId="Heading5">
    <w:name w:val="heading 5"/>
    <w:basedOn w:val="Normal"/>
    <w:next w:val="Normal"/>
    <w:pPr>
      <w:pageBreakBefore w:val="0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ageBreakBefore w:val="0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hyperlink" Target="https://www.ownml.co/" TargetMode="External"/><Relationship Id="rId21" Type="http://schemas.openxmlformats.org/officeDocument/2006/relationships/hyperlink" Target="https://creativecommons.org/licenses/by-sa/4.0/" TargetMode="External"/><Relationship Id="rId24" Type="http://schemas.openxmlformats.org/officeDocument/2006/relationships/hyperlink" Target="https://calendar.google.com/calendar/u/0/appointments/schedules/AcZssZ01twDReOp1fMth80wKIkyE6nFz4y5c2NO7zRlU6rEBi5uUvW4v-2y58-xjuIBoo2GR10ZHKmEw" TargetMode="External"/><Relationship Id="rId23" Type="http://schemas.openxmlformats.org/officeDocument/2006/relationships/hyperlink" Target="https://www.ownml.co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5" Type="http://schemas.openxmlformats.org/officeDocument/2006/relationships/hyperlink" Target="https://www.ownml.co/machine-learning-canva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11.png"/><Relationship Id="rId8" Type="http://schemas.openxmlformats.org/officeDocument/2006/relationships/image" Target="media/image6.png"/><Relationship Id="rId11" Type="http://schemas.openxmlformats.org/officeDocument/2006/relationships/image" Target="media/image13.png"/><Relationship Id="rId10" Type="http://schemas.openxmlformats.org/officeDocument/2006/relationships/image" Target="media/image12.png"/><Relationship Id="rId13" Type="http://schemas.openxmlformats.org/officeDocument/2006/relationships/image" Target="media/image9.png"/><Relationship Id="rId12" Type="http://schemas.openxmlformats.org/officeDocument/2006/relationships/image" Target="media/image2.png"/><Relationship Id="rId15" Type="http://schemas.openxmlformats.org/officeDocument/2006/relationships/image" Target="media/image3.png"/><Relationship Id="rId14" Type="http://schemas.openxmlformats.org/officeDocument/2006/relationships/image" Target="media/image15.png"/><Relationship Id="rId17" Type="http://schemas.openxmlformats.org/officeDocument/2006/relationships/image" Target="media/image8.png"/><Relationship Id="rId16" Type="http://schemas.openxmlformats.org/officeDocument/2006/relationships/image" Target="media/image10.png"/><Relationship Id="rId19" Type="http://schemas.openxmlformats.org/officeDocument/2006/relationships/image" Target="media/image14.pn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regular.ttf"/><Relationship Id="rId10" Type="http://schemas.openxmlformats.org/officeDocument/2006/relationships/font" Target="fonts/Hind-bold.ttf"/><Relationship Id="rId13" Type="http://schemas.openxmlformats.org/officeDocument/2006/relationships/font" Target="fonts/RobotoMono-italic.ttf"/><Relationship Id="rId12" Type="http://schemas.openxmlformats.org/officeDocument/2006/relationships/font" Target="fonts/RobotoMono-bold.ttf"/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9" Type="http://schemas.openxmlformats.org/officeDocument/2006/relationships/font" Target="fonts/Hind-regular.ttf"/><Relationship Id="rId14" Type="http://schemas.openxmlformats.org/officeDocument/2006/relationships/font" Target="fonts/RobotoMono-boldItalic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