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FD78A0" w14:textId="4B6DF12D" w:rsidR="009D56D0" w:rsidRDefault="009D56D0" w:rsidP="009D56D0">
      <w:pPr>
        <w:spacing w:after="0" w:line="240" w:lineRule="auto"/>
        <w:jc w:val="center"/>
        <w:rPr>
          <w:rFonts w:ascii="Sitka Small" w:hAnsi="Sitka Small"/>
          <w:b/>
          <w:bCs/>
          <w:color w:val="1F4E79" w:themeColor="accent5" w:themeShade="80"/>
          <w:sz w:val="44"/>
          <w:szCs w:val="44"/>
          <w:u w:val="single"/>
        </w:rPr>
      </w:pPr>
      <w:r w:rsidRPr="00ED4304">
        <w:rPr>
          <w:rFonts w:ascii="Sitka Small" w:hAnsi="Sitka Small"/>
          <w:b/>
          <w:bCs/>
          <w:color w:val="1F4E79" w:themeColor="accent5" w:themeShade="80"/>
          <w:sz w:val="44"/>
          <w:szCs w:val="44"/>
          <w:u w:val="single"/>
        </w:rPr>
        <w:t xml:space="preserve">Code Review: </w:t>
      </w:r>
      <w:r w:rsidR="0013614F" w:rsidRPr="0013614F">
        <w:rPr>
          <w:rFonts w:ascii="Sitka Small" w:hAnsi="Sitka Small"/>
          <w:b/>
          <w:bCs/>
          <w:noProof/>
          <w:color w:val="1F4E79" w:themeColor="accent5" w:themeShade="80"/>
          <w:sz w:val="44"/>
          <w:szCs w:val="44"/>
          <w:u w:val="single"/>
        </w:rPr>
        <w:t>I2212180</w:t>
      </w:r>
    </w:p>
    <w:p w14:paraId="7F0953C2" w14:textId="3A4F3E47" w:rsidR="009D56D0" w:rsidRDefault="009D56D0" w:rsidP="009D56D0">
      <w:pPr>
        <w:spacing w:after="0" w:line="240" w:lineRule="auto"/>
        <w:jc w:val="center"/>
        <w:rPr>
          <w:rFonts w:ascii="Sitka Small" w:hAnsi="Sitka Small"/>
          <w:color w:val="1F4E79" w:themeColor="accent5" w:themeShade="80"/>
        </w:rPr>
      </w:pPr>
      <w:r w:rsidRPr="00ED4304">
        <w:rPr>
          <w:rFonts w:ascii="Sitka Small" w:hAnsi="Sitka Small"/>
          <w:color w:val="1F4E79" w:themeColor="accent5" w:themeShade="80"/>
        </w:rPr>
        <w:t xml:space="preserve">Reviewer: </w:t>
      </w:r>
      <w:r w:rsidR="0013614F">
        <w:rPr>
          <w:rFonts w:ascii="Sitka Small" w:hAnsi="Sitka Small"/>
          <w:i/>
          <w:iCs/>
          <w:color w:val="1F4E79" w:themeColor="accent5" w:themeShade="80"/>
        </w:rPr>
        <w:t>Mark Dell</w:t>
      </w:r>
    </w:p>
    <w:p w14:paraId="23DF3E2D" w14:textId="2321E99E" w:rsidR="009D56D0" w:rsidRDefault="009D56D0" w:rsidP="009D56D0">
      <w:pPr>
        <w:spacing w:after="0" w:line="240" w:lineRule="auto"/>
        <w:jc w:val="center"/>
        <w:rPr>
          <w:rFonts w:ascii="Sitka Small" w:hAnsi="Sitka Small"/>
          <w:i/>
          <w:iCs/>
          <w:color w:val="1F4E79" w:themeColor="accent5" w:themeShade="80"/>
        </w:rPr>
      </w:pPr>
      <w:r>
        <w:rPr>
          <w:rFonts w:ascii="Sitka Small" w:hAnsi="Sitka Small"/>
          <w:color w:val="1F4E79" w:themeColor="accent5" w:themeShade="80"/>
        </w:rPr>
        <w:t xml:space="preserve">Date: </w:t>
      </w:r>
      <w:r w:rsidR="0013614F">
        <w:rPr>
          <w:rFonts w:ascii="Sitka Small" w:hAnsi="Sitka Small"/>
          <w:i/>
          <w:iCs/>
          <w:color w:val="1F4E79" w:themeColor="accent5" w:themeShade="80"/>
        </w:rPr>
        <w:t>June 6</w:t>
      </w:r>
      <w:r w:rsidR="0013614F" w:rsidRPr="0013614F">
        <w:rPr>
          <w:rFonts w:ascii="Sitka Small" w:hAnsi="Sitka Small"/>
          <w:i/>
          <w:iCs/>
          <w:color w:val="1F4E79" w:themeColor="accent5" w:themeShade="80"/>
          <w:vertAlign w:val="superscript"/>
        </w:rPr>
        <w:t>th</w:t>
      </w:r>
      <w:r w:rsidR="0013614F">
        <w:rPr>
          <w:rFonts w:ascii="Sitka Small" w:hAnsi="Sitka Small"/>
          <w:i/>
          <w:iCs/>
          <w:color w:val="1F4E79" w:themeColor="accent5" w:themeShade="80"/>
        </w:rPr>
        <w:t>, 2023</w:t>
      </w:r>
    </w:p>
    <w:p w14:paraId="49499BC3" w14:textId="02799382" w:rsidR="009E6C2D" w:rsidRDefault="00F3288B" w:rsidP="008238CD">
      <w:pPr>
        <w:pStyle w:val="ReviewSectionHeader"/>
      </w:pPr>
      <w:r>
        <w:t>Bugs</w:t>
      </w:r>
    </w:p>
    <w:p w14:paraId="38524185" w14:textId="48575ABA" w:rsidR="004A4527" w:rsidRDefault="004A4527" w:rsidP="004A4527">
      <w:pPr>
        <w:pStyle w:val="ReviewSectionContent"/>
      </w:pPr>
      <w:r>
        <w:t xml:space="preserve">This is inaccessible code inside the outer </w:t>
      </w:r>
      <w:r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If</w:t>
      </w:r>
      <w:r>
        <w:t>.</w:t>
      </w:r>
    </w:p>
    <w:p w14:paraId="040827A0" w14:textId="34455553" w:rsidR="004A4527" w:rsidRDefault="004A4527" w:rsidP="004A4527">
      <w:pPr>
        <w:pStyle w:val="ReviewSectionContent"/>
        <w:numPr>
          <w:ilvl w:val="0"/>
          <w:numId w:val="0"/>
        </w:numPr>
        <w:ind w:left="720"/>
      </w:pPr>
      <w:r w:rsidRPr="004A4527">
        <w:rPr>
          <w:noProof/>
        </w:rPr>
        <w:drawing>
          <wp:inline distT="0" distB="0" distL="0" distR="0" wp14:anchorId="62E73089" wp14:editId="2548CA83">
            <wp:extent cx="6675120" cy="2395728"/>
            <wp:effectExtent l="0" t="0" r="0" b="5080"/>
            <wp:docPr id="1611302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3029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2395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30646" w14:textId="77777777" w:rsidR="00DE29EB" w:rsidRPr="009E6C2D" w:rsidRDefault="007F1F3C" w:rsidP="008238CD">
      <w:pPr>
        <w:pStyle w:val="ReviewSectionHeader"/>
        <w:rPr>
          <w:sz w:val="24"/>
          <w:szCs w:val="24"/>
        </w:rPr>
      </w:pPr>
      <w:r>
        <w:t>Preventative Action/Safety</w:t>
      </w:r>
    </w:p>
    <w:p w14:paraId="14E002E9" w14:textId="715B587F" w:rsidR="00DE29EB" w:rsidRDefault="00DE29EB" w:rsidP="008238CD">
      <w:pPr>
        <w:pStyle w:val="ReviewSectionHeader"/>
        <w:rPr>
          <w:b w:val="0"/>
          <w:bCs w:val="0"/>
        </w:rPr>
      </w:pPr>
      <w:r w:rsidRPr="00F3288B">
        <w:t>Design/Architecture</w:t>
      </w:r>
      <w:r w:rsidRPr="00F3288B">
        <w:rPr>
          <w:sz w:val="24"/>
          <w:szCs w:val="24"/>
        </w:rPr>
        <w:t xml:space="preserve"> </w:t>
      </w:r>
      <w:r w:rsidRPr="008238CD">
        <w:rPr>
          <w:b w:val="0"/>
          <w:bCs w:val="0"/>
          <w:sz w:val="24"/>
          <w:szCs w:val="24"/>
        </w:rPr>
        <w:t>(Duplication, appropriate project, namespaces</w:t>
      </w:r>
      <w:r w:rsidR="006205F3" w:rsidRPr="008238CD">
        <w:rPr>
          <w:b w:val="0"/>
          <w:bCs w:val="0"/>
          <w:sz w:val="24"/>
          <w:szCs w:val="24"/>
        </w:rPr>
        <w:t>, maintainability</w:t>
      </w:r>
      <w:r w:rsidRPr="008238CD">
        <w:rPr>
          <w:b w:val="0"/>
          <w:bCs w:val="0"/>
          <w:sz w:val="24"/>
          <w:szCs w:val="24"/>
        </w:rPr>
        <w:t>)</w:t>
      </w:r>
    </w:p>
    <w:p w14:paraId="4A81AAA0" w14:textId="25FE49C0" w:rsidR="00DE29EB" w:rsidRPr="009E6C2D" w:rsidRDefault="00DE29EB" w:rsidP="008238CD">
      <w:pPr>
        <w:pStyle w:val="ReviewSectionHeader"/>
        <w:rPr>
          <w:sz w:val="24"/>
          <w:szCs w:val="24"/>
        </w:rPr>
      </w:pPr>
      <w:r>
        <w:t>Data Model</w:t>
      </w:r>
      <w:r w:rsidR="008238CD">
        <w:rPr>
          <w:b w:val="0"/>
          <w:bCs w:val="0"/>
        </w:rPr>
        <w:t xml:space="preserve"> </w:t>
      </w:r>
      <w:r w:rsidRPr="008238CD">
        <w:rPr>
          <w:b w:val="0"/>
          <w:bCs w:val="0"/>
          <w:sz w:val="24"/>
          <w:szCs w:val="24"/>
        </w:rPr>
        <w:t>(Naming, good design, need</w:t>
      </w:r>
      <w:r w:rsidR="00E33201" w:rsidRPr="008238CD">
        <w:rPr>
          <w:b w:val="0"/>
          <w:bCs w:val="0"/>
          <w:sz w:val="24"/>
          <w:szCs w:val="24"/>
        </w:rPr>
        <w:t>s</w:t>
      </w:r>
      <w:r w:rsidRPr="008238CD">
        <w:rPr>
          <w:b w:val="0"/>
          <w:bCs w:val="0"/>
          <w:sz w:val="24"/>
          <w:szCs w:val="24"/>
        </w:rPr>
        <w:t xml:space="preserve"> index</w:t>
      </w:r>
      <w:r w:rsidR="00E33201" w:rsidRPr="008238CD">
        <w:rPr>
          <w:b w:val="0"/>
          <w:bCs w:val="0"/>
          <w:sz w:val="24"/>
          <w:szCs w:val="24"/>
        </w:rPr>
        <w:t>?</w:t>
      </w:r>
      <w:r w:rsidRPr="008238CD">
        <w:rPr>
          <w:b w:val="0"/>
          <w:bCs w:val="0"/>
          <w:sz w:val="24"/>
          <w:szCs w:val="24"/>
        </w:rPr>
        <w:t>)</w:t>
      </w:r>
    </w:p>
    <w:p w14:paraId="6B7B86D4" w14:textId="77777777" w:rsidR="00DE29EB" w:rsidRPr="009E6C2D" w:rsidRDefault="00DE29EB" w:rsidP="008238CD">
      <w:pPr>
        <w:pStyle w:val="ReviewSectionHeader"/>
        <w:rPr>
          <w:sz w:val="24"/>
          <w:szCs w:val="24"/>
        </w:rPr>
      </w:pPr>
      <w:r w:rsidRPr="00F3288B">
        <w:t>Performance</w:t>
      </w:r>
      <w:r w:rsidRPr="00F3288B">
        <w:rPr>
          <w:sz w:val="24"/>
          <w:szCs w:val="24"/>
        </w:rPr>
        <w:t xml:space="preserve"> </w:t>
      </w:r>
      <w:r w:rsidRPr="008238CD">
        <w:rPr>
          <w:b w:val="0"/>
          <w:bCs w:val="0"/>
          <w:sz w:val="24"/>
          <w:szCs w:val="24"/>
        </w:rPr>
        <w:t>(Minimize DB hits, excessive loops, queries, scalable)</w:t>
      </w:r>
    </w:p>
    <w:p w14:paraId="56010E17" w14:textId="5350F1A4" w:rsidR="004414E5" w:rsidRPr="008238CD" w:rsidRDefault="00F3288B" w:rsidP="008238CD">
      <w:pPr>
        <w:pStyle w:val="ReviewSectionHeader"/>
        <w:rPr>
          <w:b w:val="0"/>
          <w:bCs w:val="0"/>
          <w:sz w:val="24"/>
          <w:szCs w:val="24"/>
        </w:rPr>
      </w:pPr>
      <w:r w:rsidRPr="00F3288B">
        <w:t>UI</w:t>
      </w:r>
      <w:r w:rsidR="008238CD">
        <w:rPr>
          <w:b w:val="0"/>
          <w:bCs w:val="0"/>
        </w:rPr>
        <w:t xml:space="preserve"> </w:t>
      </w:r>
      <w:r w:rsidRPr="008238CD">
        <w:rPr>
          <w:b w:val="0"/>
          <w:bCs w:val="0"/>
          <w:sz w:val="24"/>
          <w:szCs w:val="24"/>
        </w:rPr>
        <w:t>(Alignment, naming, standardization</w:t>
      </w:r>
      <w:r w:rsidR="00A972AA" w:rsidRPr="008238CD">
        <w:rPr>
          <w:b w:val="0"/>
          <w:bCs w:val="0"/>
          <w:sz w:val="24"/>
          <w:szCs w:val="24"/>
        </w:rPr>
        <w:t>, tab order</w:t>
      </w:r>
      <w:r w:rsidRPr="008238CD">
        <w:rPr>
          <w:b w:val="0"/>
          <w:bCs w:val="0"/>
          <w:sz w:val="24"/>
          <w:szCs w:val="24"/>
        </w:rPr>
        <w:t>)</w:t>
      </w:r>
    </w:p>
    <w:p w14:paraId="5EF08B7A" w14:textId="6E8E2A9C" w:rsidR="00F3288B" w:rsidRPr="008238CD" w:rsidRDefault="00F3288B" w:rsidP="008238CD">
      <w:pPr>
        <w:pStyle w:val="ReviewSectionHeader"/>
        <w:rPr>
          <w:b w:val="0"/>
          <w:bCs w:val="0"/>
          <w:sz w:val="24"/>
          <w:szCs w:val="24"/>
        </w:rPr>
      </w:pPr>
      <w:r w:rsidRPr="00F3288B">
        <w:lastRenderedPageBreak/>
        <w:t>Error Handling</w:t>
      </w:r>
      <w:r w:rsidR="008238CD">
        <w:t xml:space="preserve"> </w:t>
      </w:r>
      <w:r w:rsidRPr="008238CD">
        <w:rPr>
          <w:b w:val="0"/>
          <w:bCs w:val="0"/>
          <w:sz w:val="24"/>
          <w:szCs w:val="24"/>
        </w:rPr>
        <w:t>(Behind events, appropriate parameter checking)</w:t>
      </w:r>
    </w:p>
    <w:p w14:paraId="6ADEF415" w14:textId="7C9B065F" w:rsidR="00F3288B" w:rsidRPr="009E6C2D" w:rsidRDefault="00F3288B" w:rsidP="008238CD">
      <w:pPr>
        <w:pStyle w:val="ReviewSectionHeader"/>
        <w:rPr>
          <w:sz w:val="24"/>
          <w:szCs w:val="24"/>
        </w:rPr>
      </w:pPr>
      <w:r w:rsidRPr="00F3288B">
        <w:t>Cleanup</w:t>
      </w:r>
      <w:r w:rsidRPr="00F3288B">
        <w:rPr>
          <w:sz w:val="24"/>
          <w:szCs w:val="24"/>
        </w:rPr>
        <w:t xml:space="preserve"> </w:t>
      </w:r>
      <w:r w:rsidRPr="008238CD">
        <w:rPr>
          <w:b w:val="0"/>
          <w:bCs w:val="0"/>
          <w:sz w:val="24"/>
          <w:szCs w:val="24"/>
        </w:rPr>
        <w:t>(Dispose code, remove handlers, large data objects)</w:t>
      </w:r>
    </w:p>
    <w:p w14:paraId="5DFBC67B" w14:textId="77777777" w:rsidR="00DE29EB" w:rsidRPr="009E6C2D" w:rsidRDefault="00F3288B" w:rsidP="008238CD">
      <w:pPr>
        <w:pStyle w:val="ReviewSectionHeader"/>
        <w:rPr>
          <w:sz w:val="24"/>
          <w:szCs w:val="24"/>
        </w:rPr>
      </w:pPr>
      <w:r w:rsidRPr="00F3288B">
        <w:t>Readability</w:t>
      </w:r>
      <w:r w:rsidRPr="00F3288B">
        <w:rPr>
          <w:sz w:val="24"/>
          <w:szCs w:val="24"/>
        </w:rPr>
        <w:t xml:space="preserve"> </w:t>
      </w:r>
      <w:r w:rsidRPr="008238CD">
        <w:rPr>
          <w:b w:val="0"/>
          <w:bCs w:val="0"/>
          <w:sz w:val="24"/>
          <w:szCs w:val="24"/>
        </w:rPr>
        <w:t>(Well-named variables, methods, clear algorithm, is it understandable)</w:t>
      </w:r>
    </w:p>
    <w:p w14:paraId="5F992A17" w14:textId="77777777" w:rsidR="004005AC" w:rsidRDefault="004005AC" w:rsidP="004005AC">
      <w:pPr>
        <w:pStyle w:val="ReviewSectionContent"/>
      </w:pPr>
      <w:r>
        <w:t xml:space="preserve">Nit: It is recommended to use either our </w:t>
      </w:r>
      <w:r>
        <w:rPr>
          <w:rFonts w:ascii="Consolas" w:hAnsi="Consolas" w:cs="Consolas"/>
          <w:noProof/>
          <w:color w:val="2B91AF"/>
          <w:kern w:val="0"/>
          <w:sz w:val="19"/>
          <w:szCs w:val="19"/>
          <w:lang w:val="en-CA"/>
        </w:rPr>
        <w:t>DataRowExtensionMethods</w:t>
      </w:r>
      <w:r>
        <w:t xml:space="preserve"> or Microsoft’s </w:t>
      </w:r>
      <w:r w:rsidRPr="0013614F">
        <w:rPr>
          <w:rFonts w:ascii="Consolas" w:hAnsi="Consolas" w:cs="Consolas"/>
          <w:noProof/>
          <w:color w:val="2B91AF"/>
          <w:kern w:val="0"/>
          <w:sz w:val="19"/>
          <w:szCs w:val="19"/>
          <w:lang w:val="en-CA"/>
        </w:rPr>
        <w:t>DataSetExtensions</w:t>
      </w:r>
      <w:r>
        <w:t xml:space="preserve">, instead of long form coding, such as this, to get the value of a data cell in the correct data type.  While our </w:t>
      </w:r>
      <w:r>
        <w:rPr>
          <w:rFonts w:ascii="Consolas" w:hAnsi="Consolas" w:cs="Consolas"/>
          <w:noProof/>
          <w:color w:val="2B91AF"/>
          <w:kern w:val="0"/>
          <w:sz w:val="19"/>
          <w:szCs w:val="19"/>
          <w:lang w:val="en-CA"/>
        </w:rPr>
        <w:t>DataRowExtensionMethods</w:t>
      </w:r>
      <w:r>
        <w:t xml:space="preserve"> are specific, Microsoft’s </w:t>
      </w:r>
      <w:r w:rsidRPr="0013614F">
        <w:rPr>
          <w:rFonts w:ascii="Consolas" w:hAnsi="Consolas" w:cs="Consolas"/>
          <w:noProof/>
          <w:color w:val="2B91AF"/>
          <w:kern w:val="0"/>
          <w:sz w:val="19"/>
          <w:szCs w:val="19"/>
          <w:lang w:val="en-CA"/>
        </w:rPr>
        <w:t>DataSetExtensions</w:t>
      </w:r>
      <w:r>
        <w:t xml:space="preserve"> use generics to specify the data type and can convert </w:t>
      </w:r>
      <w:r>
        <w:rPr>
          <w:noProof/>
        </w:rPr>
        <w:t>DBNull</w:t>
      </w:r>
      <w:r>
        <w:t xml:space="preserve"> to Nothing (according to Kevin). Note that I have not made much use of either as yet.</w:t>
      </w:r>
    </w:p>
    <w:p w14:paraId="11F09EAF" w14:textId="25459291" w:rsidR="004005AC" w:rsidRPr="006A0400" w:rsidRDefault="004005AC" w:rsidP="004005AC">
      <w:pPr>
        <w:pStyle w:val="ReviewSectionContent"/>
        <w:numPr>
          <w:ilvl w:val="0"/>
          <w:numId w:val="0"/>
        </w:numPr>
        <w:ind w:left="720"/>
      </w:pPr>
      <w:r w:rsidRPr="0013614F">
        <w:rPr>
          <w:noProof/>
        </w:rPr>
        <w:drawing>
          <wp:inline distT="0" distB="0" distL="0" distR="0" wp14:anchorId="57044962" wp14:editId="3B7F3743">
            <wp:extent cx="8229600" cy="1839595"/>
            <wp:effectExtent l="0" t="0" r="0" b="8255"/>
            <wp:docPr id="119117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178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83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FEF08" w14:textId="152FDD04" w:rsidR="00DE29EB" w:rsidRPr="009E6C2D" w:rsidRDefault="00DE29EB" w:rsidP="008238CD">
      <w:pPr>
        <w:pStyle w:val="ReviewSectionHeader"/>
        <w:rPr>
          <w:sz w:val="24"/>
          <w:szCs w:val="24"/>
        </w:rPr>
      </w:pPr>
      <w:r w:rsidRPr="00F3288B">
        <w:t>Comments</w:t>
      </w:r>
      <w:r w:rsidRPr="00F3288B">
        <w:rPr>
          <w:sz w:val="24"/>
          <w:szCs w:val="24"/>
        </w:rPr>
        <w:t xml:space="preserve"> </w:t>
      </w:r>
      <w:r w:rsidRPr="008238CD">
        <w:rPr>
          <w:b w:val="0"/>
          <w:bCs w:val="0"/>
          <w:sz w:val="24"/>
          <w:szCs w:val="24"/>
        </w:rPr>
        <w:t>(Useful, explains why rather than how)</w:t>
      </w:r>
    </w:p>
    <w:p w14:paraId="52E77A31" w14:textId="1E21A4D5" w:rsidR="006A0400" w:rsidRPr="009E6C2D" w:rsidRDefault="00DE29EB" w:rsidP="008238CD">
      <w:pPr>
        <w:pStyle w:val="ReviewSectionHeader"/>
        <w:rPr>
          <w:sz w:val="24"/>
          <w:szCs w:val="24"/>
        </w:rPr>
      </w:pPr>
      <w:r w:rsidRPr="00F3288B">
        <w:t>Message Boxes</w:t>
      </w:r>
      <w:r w:rsidRPr="00F3288B">
        <w:rPr>
          <w:sz w:val="24"/>
          <w:szCs w:val="24"/>
        </w:rPr>
        <w:t xml:space="preserve"> </w:t>
      </w:r>
      <w:r w:rsidRPr="008238CD">
        <w:rPr>
          <w:b w:val="0"/>
          <w:bCs w:val="0"/>
          <w:sz w:val="24"/>
          <w:szCs w:val="24"/>
        </w:rPr>
        <w:t>(Grammar, spelling, captions, appropriate icons)</w:t>
      </w:r>
    </w:p>
    <w:p w14:paraId="280B17BB" w14:textId="6E62F3EF" w:rsidR="009E6C2D" w:rsidRPr="009E6C2D" w:rsidRDefault="009E6C2D" w:rsidP="008238CD">
      <w:pPr>
        <w:pStyle w:val="ReviewSectionHeader"/>
        <w:rPr>
          <w:b w:val="0"/>
          <w:bCs w:val="0"/>
          <w:sz w:val="24"/>
          <w:szCs w:val="24"/>
        </w:rPr>
      </w:pPr>
      <w:r>
        <w:t xml:space="preserve">Ticket </w:t>
      </w:r>
      <w:r w:rsidRPr="0007035E">
        <w:t>Management</w:t>
      </w:r>
      <w:r w:rsidR="008238CD">
        <w:t xml:space="preserve"> </w:t>
      </w:r>
      <w:r w:rsidRPr="009E6C2D">
        <w:rPr>
          <w:b w:val="0"/>
          <w:bCs w:val="0"/>
          <w:sz w:val="24"/>
          <w:szCs w:val="24"/>
        </w:rPr>
        <w:t xml:space="preserve">(Release </w:t>
      </w:r>
      <w:r w:rsidRPr="009E6C2D">
        <w:rPr>
          <w:b w:val="0"/>
          <w:bCs w:val="0"/>
          <w:noProof/>
          <w:sz w:val="24"/>
          <w:szCs w:val="24"/>
        </w:rPr>
        <w:t>Branch?</w:t>
      </w:r>
      <w:r>
        <w:rPr>
          <w:b w:val="0"/>
          <w:bCs w:val="0"/>
          <w:noProof/>
          <w:sz w:val="24"/>
          <w:szCs w:val="24"/>
        </w:rPr>
        <w:t>,</w:t>
      </w:r>
      <w:r>
        <w:rPr>
          <w:b w:val="0"/>
          <w:bCs w:val="0"/>
          <w:sz w:val="24"/>
          <w:szCs w:val="24"/>
        </w:rPr>
        <w:t xml:space="preserve"> Testing Notes)</w:t>
      </w:r>
    </w:p>
    <w:p w14:paraId="004A20F6" w14:textId="77777777" w:rsidR="00DF20E1" w:rsidRDefault="00DF20E1">
      <w:pPr>
        <w:rPr>
          <w:rFonts w:ascii="Sitka Small" w:hAnsi="Sitka Small"/>
          <w:b/>
          <w:bCs/>
          <w:color w:val="1F4E79" w:themeColor="accent5" w:themeShade="80"/>
          <w:sz w:val="32"/>
          <w:szCs w:val="32"/>
          <w:u w:val="single"/>
        </w:rPr>
      </w:pPr>
      <w:r>
        <w:br w:type="page"/>
      </w:r>
    </w:p>
    <w:p w14:paraId="77C7165A" w14:textId="1A77C841" w:rsidR="006A0400" w:rsidRPr="000E228C" w:rsidRDefault="006A0400" w:rsidP="008238CD">
      <w:pPr>
        <w:pStyle w:val="ReviewSectionHeader"/>
        <w:rPr>
          <w:sz w:val="24"/>
          <w:szCs w:val="24"/>
        </w:rPr>
      </w:pPr>
      <w:r>
        <w:lastRenderedPageBreak/>
        <w:t>Extras</w:t>
      </w:r>
    </w:p>
    <w:p w14:paraId="523CE19A" w14:textId="52B1E1B9" w:rsidR="004005AC" w:rsidRDefault="006370FC" w:rsidP="00241F8D">
      <w:pPr>
        <w:pStyle w:val="ReviewSectionContent"/>
      </w:pPr>
      <w:r>
        <w:t xml:space="preserve">Concern: </w:t>
      </w:r>
      <w:r w:rsidR="00241F8D">
        <w:t xml:space="preserve">Was there an issue with using the </w:t>
      </w:r>
      <w:r w:rsidR="00DF20E1">
        <w:t>D</w:t>
      </w:r>
      <w:r w:rsidR="00241F8D">
        <w:t>ispose</w:t>
      </w:r>
      <w:r w:rsidR="00DF20E1">
        <w:t>d</w:t>
      </w:r>
      <w:r w:rsidR="00241F8D">
        <w:t xml:space="preserve"> event of the form instead of moving the Dispose method from the designer code to the user code?</w:t>
      </w:r>
      <w:r w:rsidR="00DF20E1">
        <w:t xml:space="preserve">  (Same for </w:t>
      </w:r>
      <w:r w:rsidR="00DF20E1">
        <w:rPr>
          <w:noProof/>
        </w:rPr>
        <w:t>ctrlSearchGrid</w:t>
      </w:r>
      <w:r w:rsidR="00DF20E1">
        <w:t>).  Please include a note to explain this.  Note that some forms or controls clean up in the closed or closing event.</w:t>
      </w:r>
    </w:p>
    <w:p w14:paraId="2524C7CB" w14:textId="0C8AE546" w:rsidR="00241F8D" w:rsidRDefault="004A4527" w:rsidP="00241F8D">
      <w:pPr>
        <w:pStyle w:val="ReviewSectionContent"/>
        <w:numPr>
          <w:ilvl w:val="0"/>
          <w:numId w:val="0"/>
        </w:numPr>
        <w:ind w:left="720"/>
      </w:pPr>
      <w:r w:rsidRPr="00241F8D">
        <w:rPr>
          <w:noProof/>
        </w:rPr>
        <w:drawing>
          <wp:inline distT="0" distB="0" distL="0" distR="0" wp14:anchorId="478A6C65" wp14:editId="246D40D9">
            <wp:extent cx="4981575" cy="2834169"/>
            <wp:effectExtent l="0" t="0" r="0" b="4445"/>
            <wp:docPr id="929004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00406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7175" cy="284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0969E" w14:textId="430F5EEA" w:rsidR="00DF20E1" w:rsidRPr="006A0400" w:rsidRDefault="006370FC" w:rsidP="00DF20E1">
      <w:pPr>
        <w:pStyle w:val="ReviewSectionContent"/>
      </w:pPr>
      <w:r>
        <w:t xml:space="preserve">Concern: </w:t>
      </w:r>
      <w:r w:rsidR="00DF20E1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Option</w:t>
      </w:r>
      <w:r w:rsidR="00DF20E1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r w:rsidR="00DF20E1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Strict</w:t>
      </w:r>
      <w:r w:rsidR="00DF20E1">
        <w:t xml:space="preserve"> is </w:t>
      </w:r>
      <w:r w:rsidR="00DF20E1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Off</w:t>
      </w:r>
      <w:r w:rsidR="00DF20E1">
        <w:t xml:space="preserve"> in </w:t>
      </w:r>
      <w:r w:rsidR="00DF20E1">
        <w:rPr>
          <w:noProof/>
        </w:rPr>
        <w:t>ctrlSearchGrid</w:t>
      </w:r>
      <w:r w:rsidR="00DF20E1">
        <w:t>.  Was that intentional?</w:t>
      </w:r>
      <w:r w:rsidR="001654E1">
        <w:t xml:space="preserve">  It appears that several other places in this file were updated so this could be </w:t>
      </w:r>
      <w:r w:rsidR="001654E1">
        <w:rPr>
          <w:rFonts w:ascii="Consolas" w:hAnsi="Consolas" w:cs="Consolas"/>
          <w:noProof/>
          <w:color w:val="0000FF"/>
          <w:kern w:val="0"/>
          <w:sz w:val="19"/>
          <w:szCs w:val="19"/>
          <w:lang w:val="en-CA"/>
        </w:rPr>
        <w:t>On</w:t>
      </w:r>
      <w:r w:rsidR="001654E1">
        <w:t xml:space="preserve"> instead.</w:t>
      </w:r>
    </w:p>
    <w:sectPr w:rsidR="00DF20E1" w:rsidRPr="006A0400" w:rsidSect="00A54965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itka Small">
    <w:panose1 w:val="02000505000000020004"/>
    <w:charset w:val="00"/>
    <w:family w:val="auto"/>
    <w:pitch w:val="variable"/>
    <w:sig w:usb0="A00002EF" w:usb1="400020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575E87"/>
    <w:multiLevelType w:val="hybridMultilevel"/>
    <w:tmpl w:val="9C085106"/>
    <w:lvl w:ilvl="0" w:tplc="F80A3506">
      <w:numFmt w:val="bullet"/>
      <w:lvlText w:val="-"/>
      <w:lvlJc w:val="left"/>
      <w:pPr>
        <w:ind w:left="720" w:hanging="360"/>
      </w:pPr>
      <w:rPr>
        <w:rFonts w:ascii="Sitka Small" w:eastAsiaTheme="minorHAnsi" w:hAnsi="Sitka Smal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D11393"/>
    <w:multiLevelType w:val="hybridMultilevel"/>
    <w:tmpl w:val="6D62C62E"/>
    <w:lvl w:ilvl="0" w:tplc="A1D4C4C6">
      <w:numFmt w:val="bullet"/>
      <w:lvlText w:val="-"/>
      <w:lvlJc w:val="left"/>
      <w:pPr>
        <w:ind w:left="720" w:hanging="360"/>
      </w:pPr>
      <w:rPr>
        <w:rFonts w:ascii="Sitka Small" w:eastAsiaTheme="minorHAnsi" w:hAnsi="Sitka Smal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5C7FD3"/>
    <w:multiLevelType w:val="hybridMultilevel"/>
    <w:tmpl w:val="61824E20"/>
    <w:lvl w:ilvl="0" w:tplc="F8BA9DD4">
      <w:numFmt w:val="bullet"/>
      <w:lvlText w:val="-"/>
      <w:lvlJc w:val="left"/>
      <w:pPr>
        <w:ind w:left="720" w:hanging="360"/>
      </w:pPr>
      <w:rPr>
        <w:rFonts w:ascii="Sitka Small" w:eastAsiaTheme="minorHAnsi" w:hAnsi="Sitka Smal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7D3500"/>
    <w:multiLevelType w:val="hybridMultilevel"/>
    <w:tmpl w:val="2D72D10A"/>
    <w:lvl w:ilvl="0" w:tplc="F9FA7E34">
      <w:numFmt w:val="bullet"/>
      <w:pStyle w:val="ReviewSectionContent"/>
      <w:lvlText w:val="-"/>
      <w:lvlJc w:val="left"/>
      <w:pPr>
        <w:ind w:left="720" w:hanging="360"/>
      </w:pPr>
      <w:rPr>
        <w:rFonts w:ascii="Sitka Small" w:eastAsiaTheme="minorHAnsi" w:hAnsi="Sitka Smal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7344BF8"/>
    <w:multiLevelType w:val="hybridMultilevel"/>
    <w:tmpl w:val="FC68C090"/>
    <w:lvl w:ilvl="0" w:tplc="02163E78">
      <w:numFmt w:val="bullet"/>
      <w:lvlText w:val="-"/>
      <w:lvlJc w:val="left"/>
      <w:pPr>
        <w:ind w:left="720" w:hanging="360"/>
      </w:pPr>
      <w:rPr>
        <w:rFonts w:ascii="Sitka Small" w:eastAsiaTheme="minorHAnsi" w:hAnsi="Sitka Smal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C6171C7"/>
    <w:multiLevelType w:val="hybridMultilevel"/>
    <w:tmpl w:val="2924BE48"/>
    <w:lvl w:ilvl="0" w:tplc="3A6822D8">
      <w:numFmt w:val="bullet"/>
      <w:lvlText w:val="-"/>
      <w:lvlJc w:val="left"/>
      <w:pPr>
        <w:ind w:left="720" w:hanging="360"/>
      </w:pPr>
      <w:rPr>
        <w:rFonts w:ascii="Sitka Small" w:eastAsiaTheme="minorHAnsi" w:hAnsi="Sitka Smal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4956158">
    <w:abstractNumId w:val="2"/>
  </w:num>
  <w:num w:numId="2" w16cid:durableId="1809004804">
    <w:abstractNumId w:val="5"/>
  </w:num>
  <w:num w:numId="3" w16cid:durableId="834568113">
    <w:abstractNumId w:val="4"/>
  </w:num>
  <w:num w:numId="4" w16cid:durableId="267321947">
    <w:abstractNumId w:val="0"/>
  </w:num>
  <w:num w:numId="5" w16cid:durableId="1582906226">
    <w:abstractNumId w:val="1"/>
  </w:num>
  <w:num w:numId="6" w16cid:durableId="7911741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E05"/>
    <w:rsid w:val="0007035E"/>
    <w:rsid w:val="000C17C4"/>
    <w:rsid w:val="000E228C"/>
    <w:rsid w:val="0013614F"/>
    <w:rsid w:val="001654E1"/>
    <w:rsid w:val="00241F8D"/>
    <w:rsid w:val="00385D28"/>
    <w:rsid w:val="004005AC"/>
    <w:rsid w:val="004414E5"/>
    <w:rsid w:val="004A4527"/>
    <w:rsid w:val="006205F3"/>
    <w:rsid w:val="006370FC"/>
    <w:rsid w:val="006A0400"/>
    <w:rsid w:val="007F1F3C"/>
    <w:rsid w:val="008238CD"/>
    <w:rsid w:val="00872841"/>
    <w:rsid w:val="009D56D0"/>
    <w:rsid w:val="009E6C2D"/>
    <w:rsid w:val="00A371D3"/>
    <w:rsid w:val="00A54965"/>
    <w:rsid w:val="00A73769"/>
    <w:rsid w:val="00A972AA"/>
    <w:rsid w:val="00B13DD1"/>
    <w:rsid w:val="00BF03AD"/>
    <w:rsid w:val="00C17A5E"/>
    <w:rsid w:val="00DE29EB"/>
    <w:rsid w:val="00DF20E1"/>
    <w:rsid w:val="00E33201"/>
    <w:rsid w:val="00F3288B"/>
    <w:rsid w:val="00FB2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592B1"/>
  <w15:chartTrackingRefBased/>
  <w15:docId w15:val="{99977B5C-8FA7-4790-8A24-CE12F5426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288B"/>
    <w:pPr>
      <w:ind w:left="720"/>
      <w:contextualSpacing/>
    </w:pPr>
  </w:style>
  <w:style w:type="paragraph" w:customStyle="1" w:styleId="ReviewSectionHeader">
    <w:name w:val="Review Section Header"/>
    <w:basedOn w:val="ReviewSection-Base"/>
    <w:link w:val="ReviewSectionHeaderChar"/>
    <w:qFormat/>
    <w:rsid w:val="00A73769"/>
    <w:pPr>
      <w:outlineLvl w:val="0"/>
    </w:pPr>
    <w:rPr>
      <w:b/>
      <w:bCs/>
      <w:sz w:val="32"/>
      <w:szCs w:val="32"/>
      <w:u w:val="single"/>
    </w:rPr>
  </w:style>
  <w:style w:type="paragraph" w:customStyle="1" w:styleId="ReviewSectionContent">
    <w:name w:val="Review Section Content"/>
    <w:basedOn w:val="ReviewSection-Base"/>
    <w:link w:val="ReviewSectionContentChar"/>
    <w:qFormat/>
    <w:rsid w:val="00A73769"/>
    <w:pPr>
      <w:numPr>
        <w:numId w:val="6"/>
      </w:numPr>
    </w:pPr>
    <w:rPr>
      <w:bCs/>
      <w:sz w:val="24"/>
      <w:szCs w:val="24"/>
    </w:rPr>
  </w:style>
  <w:style w:type="character" w:customStyle="1" w:styleId="ReviewSectionHeaderChar">
    <w:name w:val="Review Section Header Char"/>
    <w:basedOn w:val="DefaultParagraphFont"/>
    <w:link w:val="ReviewSectionHeader"/>
    <w:rsid w:val="00A73769"/>
    <w:rPr>
      <w:rFonts w:ascii="Sitka Small" w:hAnsi="Sitka Small"/>
      <w:b/>
      <w:bCs/>
      <w:color w:val="1F4E79" w:themeColor="accent5" w:themeShade="80"/>
      <w:sz w:val="32"/>
      <w:szCs w:val="32"/>
      <w:u w:val="single"/>
    </w:rPr>
  </w:style>
  <w:style w:type="character" w:customStyle="1" w:styleId="ReviewSectionContentChar">
    <w:name w:val="Review Section Content Char"/>
    <w:basedOn w:val="ReviewSectionHeaderChar"/>
    <w:link w:val="ReviewSectionContent"/>
    <w:rsid w:val="00A73769"/>
    <w:rPr>
      <w:rFonts w:ascii="Sitka Small" w:hAnsi="Sitka Small"/>
      <w:b w:val="0"/>
      <w:bCs/>
      <w:color w:val="1F4E79" w:themeColor="accent5" w:themeShade="80"/>
      <w:sz w:val="24"/>
      <w:szCs w:val="24"/>
      <w:u w:val="single"/>
    </w:rPr>
  </w:style>
  <w:style w:type="paragraph" w:customStyle="1" w:styleId="ReviewSection-Base">
    <w:name w:val="Review Section - Base"/>
    <w:basedOn w:val="Normal"/>
    <w:link w:val="ReviewSection-BaseChar"/>
    <w:rsid w:val="00A73769"/>
    <w:rPr>
      <w:rFonts w:ascii="Sitka Small" w:hAnsi="Sitka Small"/>
      <w:color w:val="1F4E79" w:themeColor="accent5" w:themeShade="80"/>
    </w:rPr>
  </w:style>
  <w:style w:type="character" w:customStyle="1" w:styleId="ReviewSection-BaseChar">
    <w:name w:val="Review Section - Base Char"/>
    <w:basedOn w:val="DefaultParagraphFont"/>
    <w:link w:val="ReviewSection-Base"/>
    <w:rsid w:val="00A73769"/>
    <w:rPr>
      <w:rFonts w:ascii="Sitka Small" w:hAnsi="Sitka Small"/>
      <w:color w:val="1F4E79" w:themeColor="accent5" w:themeShade="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848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2291CE-57DF-47D0-973A-F3383F62AF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1568</TotalTime>
  <Pages>3</Pages>
  <Words>247</Words>
  <Characters>1409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Wood</dc:creator>
  <cp:keywords/>
  <dc:description/>
  <cp:lastModifiedBy>Mark Dell</cp:lastModifiedBy>
  <cp:revision>20</cp:revision>
  <dcterms:created xsi:type="dcterms:W3CDTF">2023-02-02T16:46:00Z</dcterms:created>
  <dcterms:modified xsi:type="dcterms:W3CDTF">2023-06-07T00:43:00Z</dcterms:modified>
</cp:coreProperties>
</file>