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1549F729" w:rsidR="009D56D0" w:rsidRPr="003A1CDF" w:rsidRDefault="009D56D0" w:rsidP="009D56D0">
      <w:pPr>
        <w:spacing w:after="0" w:line="240" w:lineRule="auto"/>
        <w:jc w:val="center"/>
        <w:rPr>
          <w:rFonts w:ascii="Sitka Small" w:hAnsi="Sitka Small"/>
          <w:b/>
          <w:bCs/>
          <w:color w:val="1F4E79" w:themeColor="accent5" w:themeShade="80"/>
          <w:sz w:val="44"/>
          <w:szCs w:val="44"/>
          <w:u w:val="single"/>
          <w:lang w:val="en-CA"/>
        </w:rPr>
      </w:pPr>
      <w:r w:rsidRPr="003A1CDF">
        <w:rPr>
          <w:rFonts w:ascii="Sitka Small" w:hAnsi="Sitka Small"/>
          <w:b/>
          <w:bCs/>
          <w:color w:val="1F4E79" w:themeColor="accent5" w:themeShade="80"/>
          <w:sz w:val="44"/>
          <w:szCs w:val="44"/>
          <w:u w:val="single"/>
          <w:lang w:val="en-CA"/>
        </w:rPr>
        <w:t xml:space="preserve">Code Review: </w:t>
      </w:r>
      <w:r w:rsidR="003F013E" w:rsidRPr="003F013E">
        <w:rPr>
          <w:rFonts w:ascii="Sitka Small" w:hAnsi="Sitka Small"/>
          <w:b/>
          <w:bCs/>
          <w:noProof/>
          <w:color w:val="1F4E79" w:themeColor="accent5" w:themeShade="80"/>
          <w:sz w:val="44"/>
          <w:szCs w:val="44"/>
          <w:u w:val="single"/>
          <w:lang w:val="en-CA"/>
        </w:rPr>
        <w:t>I2304099</w:t>
      </w:r>
    </w:p>
    <w:p w14:paraId="7F0953C2" w14:textId="33DBEFAA" w:rsidR="009D56D0" w:rsidRPr="003A1CDF" w:rsidRDefault="009D56D0" w:rsidP="009D56D0">
      <w:pPr>
        <w:spacing w:after="0" w:line="240" w:lineRule="auto"/>
        <w:jc w:val="center"/>
        <w:rPr>
          <w:rFonts w:ascii="Sitka Small" w:hAnsi="Sitka Small"/>
          <w:color w:val="1F4E79" w:themeColor="accent5" w:themeShade="80"/>
          <w:lang w:val="en-CA"/>
        </w:rPr>
      </w:pPr>
      <w:r w:rsidRPr="003A1CDF">
        <w:rPr>
          <w:rFonts w:ascii="Sitka Small" w:hAnsi="Sitka Small"/>
          <w:color w:val="1F4E79" w:themeColor="accent5" w:themeShade="80"/>
          <w:lang w:val="en-CA"/>
        </w:rPr>
        <w:t xml:space="preserve">Reviewer: </w:t>
      </w:r>
      <w:r w:rsidR="003F013E">
        <w:rPr>
          <w:rFonts w:ascii="Sitka Small" w:hAnsi="Sitka Small"/>
          <w:i/>
          <w:iCs/>
          <w:color w:val="1F4E79" w:themeColor="accent5" w:themeShade="80"/>
          <w:lang w:val="en-CA"/>
        </w:rPr>
        <w:t>Mark Dell</w:t>
      </w:r>
    </w:p>
    <w:p w14:paraId="23DF3E2D" w14:textId="7A07AA34" w:rsidR="009D56D0" w:rsidRPr="003A1CDF" w:rsidRDefault="009D56D0" w:rsidP="009D56D0">
      <w:pPr>
        <w:spacing w:after="0" w:line="240" w:lineRule="auto"/>
        <w:jc w:val="center"/>
        <w:rPr>
          <w:rFonts w:ascii="Sitka Small" w:hAnsi="Sitka Small"/>
          <w:i/>
          <w:iCs/>
          <w:color w:val="1F4E79" w:themeColor="accent5" w:themeShade="80"/>
          <w:lang w:val="en-CA"/>
        </w:rPr>
      </w:pPr>
      <w:r w:rsidRPr="003A1CDF">
        <w:rPr>
          <w:rFonts w:ascii="Sitka Small" w:hAnsi="Sitka Small"/>
          <w:color w:val="1F4E79" w:themeColor="accent5" w:themeShade="80"/>
          <w:lang w:val="en-CA"/>
        </w:rPr>
        <w:t xml:space="preserve">Date: </w:t>
      </w:r>
      <w:r w:rsidR="003F013E">
        <w:rPr>
          <w:rFonts w:ascii="Sitka Small" w:hAnsi="Sitka Small"/>
          <w:i/>
          <w:iCs/>
          <w:color w:val="1F4E79" w:themeColor="accent5" w:themeShade="80"/>
          <w:lang w:val="en-CA"/>
        </w:rPr>
        <w:t>July 5</w:t>
      </w:r>
      <w:r w:rsidR="003F013E" w:rsidRPr="003F013E">
        <w:rPr>
          <w:rFonts w:ascii="Sitka Small" w:hAnsi="Sitka Small"/>
          <w:i/>
          <w:iCs/>
          <w:color w:val="1F4E79" w:themeColor="accent5" w:themeShade="80"/>
          <w:vertAlign w:val="superscript"/>
          <w:lang w:val="en-CA"/>
        </w:rPr>
        <w:t>th</w:t>
      </w:r>
      <w:r w:rsidR="003F013E">
        <w:rPr>
          <w:rFonts w:ascii="Sitka Small" w:hAnsi="Sitka Small"/>
          <w:i/>
          <w:iCs/>
          <w:color w:val="1F4E79" w:themeColor="accent5" w:themeShade="80"/>
          <w:lang w:val="en-CA"/>
        </w:rPr>
        <w:t>, 2023</w:t>
      </w:r>
    </w:p>
    <w:p w14:paraId="49499BC3" w14:textId="01AF2B26" w:rsidR="009E6C2D" w:rsidRDefault="00F3288B" w:rsidP="008238CD">
      <w:pPr>
        <w:pStyle w:val="ReviewSectionHeader"/>
        <w:rPr>
          <w:lang w:val="en-CA"/>
        </w:rPr>
      </w:pPr>
      <w:r w:rsidRPr="003A1CDF">
        <w:rPr>
          <w:lang w:val="en-CA"/>
        </w:rPr>
        <w:t>Bugs</w:t>
      </w:r>
    </w:p>
    <w:p w14:paraId="620A112A" w14:textId="4FCB9813" w:rsidR="003F013E" w:rsidRPr="003F013E" w:rsidRDefault="003F013E" w:rsidP="008238CD">
      <w:pPr>
        <w:pStyle w:val="ReviewSectionContent"/>
        <w:rPr>
          <w:lang w:val="en-CA"/>
        </w:rPr>
      </w:pPr>
      <w:r>
        <w:rPr>
          <w:lang w:val="en-CA"/>
        </w:rPr>
        <w:t>You changed the case of some words on several lines to proper case.  Some are in comments, but some are SQL statements (On, In, …)</w:t>
      </w:r>
      <w:r w:rsidR="00D162A2">
        <w:rPr>
          <w:lang w:val="en-CA"/>
        </w:rPr>
        <w:t xml:space="preserve">.  In at least one case, </w:t>
      </w:r>
      <w:r w:rsidR="00A67FE2">
        <w:rPr>
          <w:lang w:val="en-CA"/>
        </w:rPr>
        <w:t xml:space="preserve">(the second example) </w:t>
      </w:r>
      <w:r w:rsidR="00D162A2">
        <w:rPr>
          <w:lang w:val="en-CA"/>
        </w:rPr>
        <w:t>this is a breaking change.</w:t>
      </w:r>
      <w:r w:rsidR="0062097B">
        <w:rPr>
          <w:lang w:val="en-CA"/>
        </w:rPr>
        <w:t xml:space="preserve">  I feel it would be preferred to modify TFS such that the history is virtually like it never occurred using a rollback, although that may be a little heavy handed</w:t>
      </w:r>
      <w:r w:rsidR="005C6068">
        <w:rPr>
          <w:lang w:val="en-CA"/>
        </w:rPr>
        <w:t>, and I do not believe it is possible in this case because other changes have already been made to that file.  In addition, these changes have already made it to the release branch.</w:t>
      </w:r>
      <w:r w:rsidR="00D162A2">
        <w:rPr>
          <w:lang w:val="en-CA"/>
        </w:rPr>
        <w:br/>
      </w:r>
      <w:r w:rsidR="00D162A2" w:rsidRPr="00D162A2">
        <w:rPr>
          <w:lang w:val="en-CA"/>
        </w:rPr>
        <w:drawing>
          <wp:inline distT="0" distB="0" distL="0" distR="0" wp14:anchorId="2FD4092F" wp14:editId="2A137D3C">
            <wp:extent cx="6972300" cy="1392846"/>
            <wp:effectExtent l="0" t="0" r="0" b="0"/>
            <wp:docPr id="30234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9776" name=""/>
                    <pic:cNvPicPr/>
                  </pic:nvPicPr>
                  <pic:blipFill>
                    <a:blip r:embed="rId6"/>
                    <a:stretch>
                      <a:fillRect/>
                    </a:stretch>
                  </pic:blipFill>
                  <pic:spPr>
                    <a:xfrm>
                      <a:off x="0" y="0"/>
                      <a:ext cx="6991166" cy="1396615"/>
                    </a:xfrm>
                    <a:prstGeom prst="rect">
                      <a:avLst/>
                    </a:prstGeom>
                  </pic:spPr>
                </pic:pic>
              </a:graphicData>
            </a:graphic>
          </wp:inline>
        </w:drawing>
      </w:r>
      <w:r w:rsidR="00D162A2">
        <w:rPr>
          <w:lang w:val="en-CA"/>
        </w:rPr>
        <w:br/>
      </w:r>
      <w:r w:rsidR="00D162A2" w:rsidRPr="00D162A2">
        <w:rPr>
          <w:lang w:val="en-CA"/>
        </w:rPr>
        <w:drawing>
          <wp:inline distT="0" distB="0" distL="0" distR="0" wp14:anchorId="4B5D60A8" wp14:editId="5C4502C3">
            <wp:extent cx="6981825" cy="661549"/>
            <wp:effectExtent l="0" t="0" r="0" b="5715"/>
            <wp:docPr id="121569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98407" name=""/>
                    <pic:cNvPicPr/>
                  </pic:nvPicPr>
                  <pic:blipFill>
                    <a:blip r:embed="rId7"/>
                    <a:stretch>
                      <a:fillRect/>
                    </a:stretch>
                  </pic:blipFill>
                  <pic:spPr>
                    <a:xfrm>
                      <a:off x="0" y="0"/>
                      <a:ext cx="7041880" cy="667239"/>
                    </a:xfrm>
                    <a:prstGeom prst="rect">
                      <a:avLst/>
                    </a:prstGeom>
                  </pic:spPr>
                </pic:pic>
              </a:graphicData>
            </a:graphic>
          </wp:inline>
        </w:drawing>
      </w:r>
    </w:p>
    <w:p w14:paraId="53C30646" w14:textId="77777777" w:rsidR="00DE29EB" w:rsidRPr="003A1CDF" w:rsidRDefault="007F1F3C" w:rsidP="008238CD">
      <w:pPr>
        <w:pStyle w:val="ReviewSectionHeader"/>
        <w:rPr>
          <w:sz w:val="24"/>
          <w:szCs w:val="24"/>
          <w:lang w:val="en-CA"/>
        </w:rPr>
      </w:pPr>
      <w:r w:rsidRPr="003A1CDF">
        <w:rPr>
          <w:lang w:val="en-CA"/>
        </w:rPr>
        <w:t>Preventative Action/Safety</w:t>
      </w:r>
    </w:p>
    <w:p w14:paraId="14E002E9" w14:textId="715B587F" w:rsidR="00DE29EB" w:rsidRPr="003A1CDF" w:rsidRDefault="00DE29EB" w:rsidP="008238CD">
      <w:pPr>
        <w:pStyle w:val="ReviewSectionHeader"/>
        <w:rPr>
          <w:b w:val="0"/>
          <w:bCs w:val="0"/>
          <w:lang w:val="en-CA"/>
        </w:rPr>
      </w:pPr>
      <w:r w:rsidRPr="003A1CDF">
        <w:rPr>
          <w:lang w:val="en-CA"/>
        </w:rPr>
        <w:t>Design/Architecture</w:t>
      </w:r>
      <w:r w:rsidRPr="003A1CDF">
        <w:rPr>
          <w:sz w:val="24"/>
          <w:szCs w:val="24"/>
          <w:lang w:val="en-CA"/>
        </w:rPr>
        <w:t xml:space="preserve"> </w:t>
      </w:r>
      <w:r w:rsidRPr="003A1CDF">
        <w:rPr>
          <w:b w:val="0"/>
          <w:bCs w:val="0"/>
          <w:sz w:val="24"/>
          <w:szCs w:val="24"/>
          <w:lang w:val="en-CA"/>
        </w:rPr>
        <w:t>(Duplication, appropriate project, namespaces</w:t>
      </w:r>
      <w:r w:rsidR="006205F3" w:rsidRPr="003A1CDF">
        <w:rPr>
          <w:b w:val="0"/>
          <w:bCs w:val="0"/>
          <w:sz w:val="24"/>
          <w:szCs w:val="24"/>
          <w:lang w:val="en-CA"/>
        </w:rPr>
        <w:t>, maintainability</w:t>
      </w:r>
      <w:r w:rsidRPr="003A1CDF">
        <w:rPr>
          <w:b w:val="0"/>
          <w:bCs w:val="0"/>
          <w:sz w:val="24"/>
          <w:szCs w:val="24"/>
          <w:lang w:val="en-CA"/>
        </w:rPr>
        <w:t>)</w:t>
      </w:r>
    </w:p>
    <w:p w14:paraId="4A81AAA0" w14:textId="25FE49C0" w:rsidR="00DE29EB" w:rsidRPr="003A1CDF" w:rsidRDefault="00DE29EB" w:rsidP="008238CD">
      <w:pPr>
        <w:pStyle w:val="ReviewSectionHeader"/>
        <w:rPr>
          <w:sz w:val="24"/>
          <w:szCs w:val="24"/>
          <w:lang w:val="en-CA"/>
        </w:rPr>
      </w:pPr>
      <w:r w:rsidRPr="003A1CDF">
        <w:rPr>
          <w:lang w:val="en-CA"/>
        </w:rPr>
        <w:t>Data Model</w:t>
      </w:r>
      <w:r w:rsidR="008238CD" w:rsidRPr="003A1CDF">
        <w:rPr>
          <w:b w:val="0"/>
          <w:bCs w:val="0"/>
          <w:lang w:val="en-CA"/>
        </w:rPr>
        <w:t xml:space="preserve"> </w:t>
      </w:r>
      <w:r w:rsidRPr="003A1CDF">
        <w:rPr>
          <w:b w:val="0"/>
          <w:bCs w:val="0"/>
          <w:sz w:val="24"/>
          <w:szCs w:val="24"/>
          <w:lang w:val="en-CA"/>
        </w:rPr>
        <w:t>(Naming, good design, need</w:t>
      </w:r>
      <w:r w:rsidR="00E33201" w:rsidRPr="003A1CDF">
        <w:rPr>
          <w:b w:val="0"/>
          <w:bCs w:val="0"/>
          <w:sz w:val="24"/>
          <w:szCs w:val="24"/>
          <w:lang w:val="en-CA"/>
        </w:rPr>
        <w:t>s</w:t>
      </w:r>
      <w:r w:rsidRPr="003A1CDF">
        <w:rPr>
          <w:b w:val="0"/>
          <w:bCs w:val="0"/>
          <w:sz w:val="24"/>
          <w:szCs w:val="24"/>
          <w:lang w:val="en-CA"/>
        </w:rPr>
        <w:t xml:space="preserve"> index</w:t>
      </w:r>
      <w:r w:rsidR="00E33201" w:rsidRPr="003A1CDF">
        <w:rPr>
          <w:b w:val="0"/>
          <w:bCs w:val="0"/>
          <w:sz w:val="24"/>
          <w:szCs w:val="24"/>
          <w:lang w:val="en-CA"/>
        </w:rPr>
        <w:t>?</w:t>
      </w:r>
      <w:r w:rsidRPr="003A1CDF">
        <w:rPr>
          <w:b w:val="0"/>
          <w:bCs w:val="0"/>
          <w:sz w:val="24"/>
          <w:szCs w:val="24"/>
          <w:lang w:val="en-CA"/>
        </w:rPr>
        <w:t>)</w:t>
      </w:r>
    </w:p>
    <w:p w14:paraId="1D34DDC9" w14:textId="77777777" w:rsidR="00141A0E" w:rsidRDefault="00141A0E">
      <w:pPr>
        <w:rPr>
          <w:rFonts w:ascii="Sitka Small" w:hAnsi="Sitka Small"/>
          <w:b/>
          <w:bCs/>
          <w:color w:val="1F4E79" w:themeColor="accent5" w:themeShade="80"/>
          <w:sz w:val="32"/>
          <w:szCs w:val="32"/>
          <w:u w:val="single"/>
          <w:lang w:val="en-CA"/>
        </w:rPr>
      </w:pPr>
      <w:r>
        <w:rPr>
          <w:lang w:val="en-CA"/>
        </w:rPr>
        <w:br w:type="page"/>
      </w:r>
    </w:p>
    <w:p w14:paraId="6B7B86D4" w14:textId="57240DDE" w:rsidR="00DE29EB" w:rsidRDefault="00DE29EB" w:rsidP="008238CD">
      <w:pPr>
        <w:pStyle w:val="ReviewSectionHeader"/>
        <w:rPr>
          <w:b w:val="0"/>
          <w:bCs w:val="0"/>
          <w:sz w:val="24"/>
          <w:szCs w:val="24"/>
          <w:lang w:val="en-CA"/>
        </w:rPr>
      </w:pPr>
      <w:r w:rsidRPr="003A1CDF">
        <w:rPr>
          <w:lang w:val="en-CA"/>
        </w:rPr>
        <w:lastRenderedPageBreak/>
        <w:t>Performance</w:t>
      </w:r>
      <w:r w:rsidRPr="003A1CDF">
        <w:rPr>
          <w:sz w:val="24"/>
          <w:szCs w:val="24"/>
          <w:lang w:val="en-CA"/>
        </w:rPr>
        <w:t xml:space="preserve"> </w:t>
      </w:r>
      <w:r w:rsidRPr="003A1CDF">
        <w:rPr>
          <w:b w:val="0"/>
          <w:bCs w:val="0"/>
          <w:sz w:val="24"/>
          <w:szCs w:val="24"/>
          <w:lang w:val="en-CA"/>
        </w:rPr>
        <w:t>(Minimize DB hits, excessive loops, queries, scalable)</w:t>
      </w:r>
    </w:p>
    <w:p w14:paraId="78F571EE" w14:textId="1AAED54A" w:rsidR="00141A0E" w:rsidRPr="003A1CDF" w:rsidRDefault="00141A0E" w:rsidP="00141A0E">
      <w:pPr>
        <w:pStyle w:val="ReviewSectionContent"/>
        <w:rPr>
          <w:lang w:val="en-CA"/>
        </w:rPr>
      </w:pPr>
      <w:r>
        <w:rPr>
          <w:lang w:val="en-CA"/>
        </w:rPr>
        <w:t>Nit: Specifying the loop variable with the Next keyword is not needed, and in VB6 degrades performance.</w:t>
      </w:r>
      <w:r w:rsidR="005B0DE7">
        <w:rPr>
          <w:lang w:val="en-CA"/>
        </w:rPr>
        <w:t xml:space="preserve">  There are multiple instances of this</w:t>
      </w:r>
      <w:r w:rsidR="00A31C66">
        <w:rPr>
          <w:lang w:val="en-CA"/>
        </w:rPr>
        <w:t>.</w:t>
      </w:r>
      <w:r>
        <w:rPr>
          <w:lang w:val="en-CA"/>
        </w:rPr>
        <w:br/>
      </w:r>
      <w:r w:rsidRPr="00141A0E">
        <w:rPr>
          <w:lang w:val="en-CA"/>
        </w:rPr>
        <w:drawing>
          <wp:inline distT="0" distB="0" distL="0" distR="0" wp14:anchorId="7FF994AB" wp14:editId="79B4855F">
            <wp:extent cx="6696075" cy="1230714"/>
            <wp:effectExtent l="0" t="0" r="0" b="7620"/>
            <wp:docPr id="204038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81850" name=""/>
                    <pic:cNvPicPr/>
                  </pic:nvPicPr>
                  <pic:blipFill>
                    <a:blip r:embed="rId8"/>
                    <a:stretch>
                      <a:fillRect/>
                    </a:stretch>
                  </pic:blipFill>
                  <pic:spPr>
                    <a:xfrm>
                      <a:off x="0" y="0"/>
                      <a:ext cx="6727155" cy="1236426"/>
                    </a:xfrm>
                    <a:prstGeom prst="rect">
                      <a:avLst/>
                    </a:prstGeom>
                  </pic:spPr>
                </pic:pic>
              </a:graphicData>
            </a:graphic>
          </wp:inline>
        </w:drawing>
      </w:r>
    </w:p>
    <w:p w14:paraId="56010E17" w14:textId="5350F1A4" w:rsidR="004414E5" w:rsidRPr="003A1CDF" w:rsidRDefault="00F3288B" w:rsidP="008238CD">
      <w:pPr>
        <w:pStyle w:val="ReviewSectionHeader"/>
        <w:rPr>
          <w:b w:val="0"/>
          <w:bCs w:val="0"/>
          <w:sz w:val="24"/>
          <w:szCs w:val="24"/>
          <w:lang w:val="en-CA"/>
        </w:rPr>
      </w:pPr>
      <w:r w:rsidRPr="003A1CDF">
        <w:rPr>
          <w:lang w:val="en-CA"/>
        </w:rPr>
        <w:t>UI</w:t>
      </w:r>
      <w:r w:rsidR="008238CD" w:rsidRPr="003A1CDF">
        <w:rPr>
          <w:b w:val="0"/>
          <w:bCs w:val="0"/>
          <w:lang w:val="en-CA"/>
        </w:rPr>
        <w:t xml:space="preserve"> </w:t>
      </w:r>
      <w:r w:rsidRPr="003A1CDF">
        <w:rPr>
          <w:b w:val="0"/>
          <w:bCs w:val="0"/>
          <w:sz w:val="24"/>
          <w:szCs w:val="24"/>
          <w:lang w:val="en-CA"/>
        </w:rPr>
        <w:t>(Alignment, naming, standardization</w:t>
      </w:r>
      <w:r w:rsidR="00A972AA" w:rsidRPr="003A1CDF">
        <w:rPr>
          <w:b w:val="0"/>
          <w:bCs w:val="0"/>
          <w:sz w:val="24"/>
          <w:szCs w:val="24"/>
          <w:lang w:val="en-CA"/>
        </w:rPr>
        <w:t>, tab order</w:t>
      </w:r>
      <w:r w:rsidRPr="003A1CDF">
        <w:rPr>
          <w:b w:val="0"/>
          <w:bCs w:val="0"/>
          <w:sz w:val="24"/>
          <w:szCs w:val="24"/>
          <w:lang w:val="en-CA"/>
        </w:rPr>
        <w:t>)</w:t>
      </w:r>
    </w:p>
    <w:p w14:paraId="5EF08B7A" w14:textId="6E8E2A9C" w:rsidR="00F3288B" w:rsidRPr="003A1CDF" w:rsidRDefault="00F3288B" w:rsidP="008238CD">
      <w:pPr>
        <w:pStyle w:val="ReviewSectionHeader"/>
        <w:rPr>
          <w:b w:val="0"/>
          <w:bCs w:val="0"/>
          <w:sz w:val="24"/>
          <w:szCs w:val="24"/>
          <w:lang w:val="en-CA"/>
        </w:rPr>
      </w:pPr>
      <w:r w:rsidRPr="003A1CDF">
        <w:rPr>
          <w:lang w:val="en-CA"/>
        </w:rPr>
        <w:t>Error Handling</w:t>
      </w:r>
      <w:r w:rsidR="008238CD" w:rsidRPr="003A1CDF">
        <w:rPr>
          <w:lang w:val="en-CA"/>
        </w:rPr>
        <w:t xml:space="preserve"> </w:t>
      </w:r>
      <w:r w:rsidRPr="003A1CDF">
        <w:rPr>
          <w:b w:val="0"/>
          <w:bCs w:val="0"/>
          <w:sz w:val="24"/>
          <w:szCs w:val="24"/>
          <w:lang w:val="en-CA"/>
        </w:rPr>
        <w:t>(Behind events, appropriate parameter checking)</w:t>
      </w:r>
    </w:p>
    <w:p w14:paraId="6ADEF415" w14:textId="7C9B065F" w:rsidR="00F3288B" w:rsidRPr="003A1CDF" w:rsidRDefault="00F3288B" w:rsidP="008238CD">
      <w:pPr>
        <w:pStyle w:val="ReviewSectionHeader"/>
        <w:rPr>
          <w:sz w:val="24"/>
          <w:szCs w:val="24"/>
          <w:lang w:val="en-CA"/>
        </w:rPr>
      </w:pPr>
      <w:r w:rsidRPr="003A1CDF">
        <w:rPr>
          <w:lang w:val="en-CA"/>
        </w:rPr>
        <w:t>Cleanup</w:t>
      </w:r>
      <w:r w:rsidRPr="003A1CDF">
        <w:rPr>
          <w:sz w:val="24"/>
          <w:szCs w:val="24"/>
          <w:lang w:val="en-CA"/>
        </w:rPr>
        <w:t xml:space="preserve"> </w:t>
      </w:r>
      <w:r w:rsidRPr="003A1CDF">
        <w:rPr>
          <w:b w:val="0"/>
          <w:bCs w:val="0"/>
          <w:sz w:val="24"/>
          <w:szCs w:val="24"/>
          <w:lang w:val="en-CA"/>
        </w:rPr>
        <w:t>(Dispose code, remove handlers, large data objects)</w:t>
      </w:r>
    </w:p>
    <w:p w14:paraId="5DFBC67B" w14:textId="77777777" w:rsidR="00DE29EB" w:rsidRDefault="00F3288B" w:rsidP="008238CD">
      <w:pPr>
        <w:pStyle w:val="ReviewSectionHeader"/>
        <w:rPr>
          <w:b w:val="0"/>
          <w:bCs w:val="0"/>
          <w:sz w:val="24"/>
          <w:szCs w:val="24"/>
          <w:lang w:val="en-CA"/>
        </w:rPr>
      </w:pPr>
      <w:r w:rsidRPr="003A1CDF">
        <w:rPr>
          <w:lang w:val="en-CA"/>
        </w:rPr>
        <w:t>Readability</w:t>
      </w:r>
      <w:r w:rsidRPr="003A1CDF">
        <w:rPr>
          <w:sz w:val="24"/>
          <w:szCs w:val="24"/>
          <w:lang w:val="en-CA"/>
        </w:rPr>
        <w:t xml:space="preserve"> </w:t>
      </w:r>
      <w:r w:rsidRPr="003A1CDF">
        <w:rPr>
          <w:b w:val="0"/>
          <w:bCs w:val="0"/>
          <w:sz w:val="24"/>
          <w:szCs w:val="24"/>
          <w:lang w:val="en-CA"/>
        </w:rPr>
        <w:t>(Well-named variables, methods, clear algorithm, is it understandable)</w:t>
      </w:r>
    </w:p>
    <w:p w14:paraId="7F6DA8C5" w14:textId="65CF7FFD" w:rsidR="00171E38" w:rsidRDefault="00171E38" w:rsidP="00A31C66">
      <w:pPr>
        <w:pStyle w:val="ReviewSectionContent"/>
        <w:rPr>
          <w:lang w:val="en-CA"/>
        </w:rPr>
      </w:pPr>
      <w:r>
        <w:rPr>
          <w:lang w:val="en-CA"/>
        </w:rPr>
        <w:t>When using a command builder for a data adapter, it is not necessary to set the data adapter’s insert command as it will be done automatically</w:t>
      </w:r>
      <w:r w:rsidR="00DE7F6E">
        <w:rPr>
          <w:lang w:val="en-CA"/>
        </w:rPr>
        <w:t xml:space="preserve"> which overwrites any changes a developer might make.  Doing that is only useful if the command is cloned and the command builder is disconnected from the data adapter before the data adapter update is performed.</w:t>
      </w:r>
      <w:r w:rsidR="00DE7F6E">
        <w:rPr>
          <w:lang w:val="en-CA"/>
        </w:rPr>
        <w:br/>
      </w:r>
      <w:r w:rsidR="005675EB" w:rsidRPr="005675EB">
        <w:rPr>
          <w:lang w:val="en-CA"/>
        </w:rPr>
        <w:drawing>
          <wp:inline distT="0" distB="0" distL="0" distR="0" wp14:anchorId="646DFE0D" wp14:editId="12EA87E5">
            <wp:extent cx="7086600" cy="1198598"/>
            <wp:effectExtent l="0" t="0" r="0" b="1905"/>
            <wp:docPr id="5457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142" name=""/>
                    <pic:cNvPicPr/>
                  </pic:nvPicPr>
                  <pic:blipFill>
                    <a:blip r:embed="rId9"/>
                    <a:stretch>
                      <a:fillRect/>
                    </a:stretch>
                  </pic:blipFill>
                  <pic:spPr>
                    <a:xfrm>
                      <a:off x="0" y="0"/>
                      <a:ext cx="7099789" cy="1200829"/>
                    </a:xfrm>
                    <a:prstGeom prst="rect">
                      <a:avLst/>
                    </a:prstGeom>
                  </pic:spPr>
                </pic:pic>
              </a:graphicData>
            </a:graphic>
          </wp:inline>
        </w:drawing>
      </w:r>
    </w:p>
    <w:p w14:paraId="708588F2" w14:textId="36F21072" w:rsidR="00A31C66" w:rsidRPr="003A1CDF" w:rsidRDefault="00A31C66" w:rsidP="00A31C66">
      <w:pPr>
        <w:pStyle w:val="ReviewSectionContent"/>
        <w:rPr>
          <w:lang w:val="en-CA"/>
        </w:rPr>
      </w:pPr>
      <w:r>
        <w:rPr>
          <w:lang w:val="en-CA"/>
        </w:rPr>
        <w:lastRenderedPageBreak/>
        <w:t xml:space="preserve">Nit: </w:t>
      </w:r>
      <w:r w:rsidR="0062097B">
        <w:rPr>
          <w:lang w:val="en-CA"/>
        </w:rPr>
        <w:t xml:space="preserve">We usually include blank lines around each block of an If statement, and after the End If, not before it, and not for the start or end of the entire If </w:t>
      </w:r>
      <w:r w:rsidR="0062097B">
        <w:rPr>
          <w:lang w:val="en-CA"/>
        </w:rPr>
        <w:t>when there is an indentation change</w:t>
      </w:r>
      <w:r w:rsidR="0062097B">
        <w:rPr>
          <w:lang w:val="en-CA"/>
        </w:rPr>
        <w:t>.  There are other examples.</w:t>
      </w:r>
      <w:r w:rsidR="0062097B">
        <w:rPr>
          <w:lang w:val="en-CA"/>
        </w:rPr>
        <w:br/>
      </w:r>
      <w:r w:rsidR="0062097B" w:rsidRPr="0062097B">
        <w:rPr>
          <w:lang w:val="en-CA"/>
        </w:rPr>
        <w:drawing>
          <wp:inline distT="0" distB="0" distL="0" distR="0" wp14:anchorId="7474CB4D" wp14:editId="08684D7A">
            <wp:extent cx="6657975" cy="1311559"/>
            <wp:effectExtent l="0" t="0" r="0" b="3175"/>
            <wp:docPr id="85027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77143" name=""/>
                    <pic:cNvPicPr/>
                  </pic:nvPicPr>
                  <pic:blipFill>
                    <a:blip r:embed="rId10"/>
                    <a:stretch>
                      <a:fillRect/>
                    </a:stretch>
                  </pic:blipFill>
                  <pic:spPr>
                    <a:xfrm>
                      <a:off x="0" y="0"/>
                      <a:ext cx="6672634" cy="1314447"/>
                    </a:xfrm>
                    <a:prstGeom prst="rect">
                      <a:avLst/>
                    </a:prstGeom>
                  </pic:spPr>
                </pic:pic>
              </a:graphicData>
            </a:graphic>
          </wp:inline>
        </w:drawing>
      </w:r>
    </w:p>
    <w:p w14:paraId="067FEF08" w14:textId="3E56FC21" w:rsidR="00DE29EB" w:rsidRPr="003A1CDF" w:rsidRDefault="00DE29EB" w:rsidP="008238CD">
      <w:pPr>
        <w:pStyle w:val="ReviewSectionHeader"/>
        <w:rPr>
          <w:sz w:val="24"/>
          <w:szCs w:val="24"/>
          <w:lang w:val="en-CA"/>
        </w:rPr>
      </w:pPr>
      <w:r w:rsidRPr="003A1CDF">
        <w:rPr>
          <w:lang w:val="en-CA"/>
        </w:rPr>
        <w:t>Comments</w:t>
      </w:r>
      <w:r w:rsidRPr="003A1CDF">
        <w:rPr>
          <w:sz w:val="24"/>
          <w:szCs w:val="24"/>
          <w:lang w:val="en-CA"/>
        </w:rPr>
        <w:t xml:space="preserve"> </w:t>
      </w:r>
      <w:r w:rsidRPr="003A1CDF">
        <w:rPr>
          <w:b w:val="0"/>
          <w:bCs w:val="0"/>
          <w:sz w:val="24"/>
          <w:szCs w:val="24"/>
          <w:lang w:val="en-CA"/>
        </w:rPr>
        <w:t>(Useful, explains why rather than how)</w:t>
      </w:r>
    </w:p>
    <w:p w14:paraId="52E77A31" w14:textId="200D864C" w:rsidR="006A0400" w:rsidRPr="003A1CDF" w:rsidRDefault="00DE29EB" w:rsidP="008238CD">
      <w:pPr>
        <w:pStyle w:val="ReviewSectionHeader"/>
        <w:rPr>
          <w:sz w:val="24"/>
          <w:szCs w:val="24"/>
          <w:lang w:val="en-CA"/>
        </w:rPr>
      </w:pPr>
      <w:r w:rsidRPr="003A1CDF">
        <w:rPr>
          <w:lang w:val="en-CA"/>
        </w:rPr>
        <w:t>Message Boxes</w:t>
      </w:r>
      <w:r w:rsidRPr="003A1CDF">
        <w:rPr>
          <w:sz w:val="24"/>
          <w:szCs w:val="24"/>
          <w:lang w:val="en-CA"/>
        </w:rPr>
        <w:t xml:space="preserve"> </w:t>
      </w:r>
      <w:r w:rsidRPr="003A1CDF">
        <w:rPr>
          <w:b w:val="0"/>
          <w:bCs w:val="0"/>
          <w:sz w:val="24"/>
          <w:szCs w:val="24"/>
          <w:lang w:val="en-CA"/>
        </w:rPr>
        <w:t>(Grammar, spelling, captions, appropriate icons)</w:t>
      </w:r>
    </w:p>
    <w:p w14:paraId="280B17BB" w14:textId="541CC3BE" w:rsidR="009E6C2D" w:rsidRDefault="009E6C2D" w:rsidP="008238CD">
      <w:pPr>
        <w:pStyle w:val="ReviewSectionHeader"/>
        <w:rPr>
          <w:b w:val="0"/>
          <w:bCs w:val="0"/>
          <w:sz w:val="24"/>
          <w:szCs w:val="24"/>
          <w:lang w:val="en-CA"/>
        </w:rPr>
      </w:pPr>
      <w:r w:rsidRPr="003A1CDF">
        <w:rPr>
          <w:lang w:val="en-CA"/>
        </w:rPr>
        <w:t>Ticket Management</w:t>
      </w:r>
      <w:r w:rsidR="008238CD" w:rsidRPr="003A1CDF">
        <w:rPr>
          <w:lang w:val="en-CA"/>
        </w:rPr>
        <w:t xml:space="preserve"> </w:t>
      </w:r>
      <w:r w:rsidRPr="003A1CDF">
        <w:rPr>
          <w:b w:val="0"/>
          <w:bCs w:val="0"/>
          <w:sz w:val="24"/>
          <w:szCs w:val="24"/>
          <w:lang w:val="en-CA"/>
        </w:rPr>
        <w:t xml:space="preserve">(Release </w:t>
      </w:r>
      <w:r w:rsidRPr="003A1CDF">
        <w:rPr>
          <w:b w:val="0"/>
          <w:bCs w:val="0"/>
          <w:noProof/>
          <w:sz w:val="24"/>
          <w:szCs w:val="24"/>
          <w:lang w:val="en-CA"/>
        </w:rPr>
        <w:t>Branch?,</w:t>
      </w:r>
      <w:r w:rsidRPr="003A1CDF">
        <w:rPr>
          <w:b w:val="0"/>
          <w:bCs w:val="0"/>
          <w:sz w:val="24"/>
          <w:szCs w:val="24"/>
          <w:lang w:val="en-CA"/>
        </w:rPr>
        <w:t xml:space="preserve"> Testing Notes)</w:t>
      </w:r>
    </w:p>
    <w:p w14:paraId="21EB31BE" w14:textId="3C71E9E1" w:rsidR="005C6068" w:rsidRPr="003A1CDF" w:rsidRDefault="005C6068" w:rsidP="005C6068">
      <w:pPr>
        <w:pStyle w:val="ReviewSectionContent"/>
        <w:rPr>
          <w:lang w:val="en-CA"/>
        </w:rPr>
      </w:pPr>
      <w:r>
        <w:rPr>
          <w:lang w:val="en-CA"/>
        </w:rPr>
        <w:t>These changes are already in the release branch with other changes in the same assemblies in testing that are bound for release, but the Forecasted Release Cycle is set for after August 11</w:t>
      </w:r>
      <w:r w:rsidRPr="005C6068">
        <w:rPr>
          <w:vertAlign w:val="superscript"/>
          <w:lang w:val="en-CA"/>
        </w:rPr>
        <w:t>th</w:t>
      </w:r>
      <w:r>
        <w:rPr>
          <w:lang w:val="en-CA"/>
        </w:rPr>
        <w:t>, 2023, which is the current scheduled release date.</w:t>
      </w:r>
    </w:p>
    <w:p w14:paraId="257F7076" w14:textId="573440A7" w:rsidR="006A0400" w:rsidRDefault="006A0400" w:rsidP="003F013E">
      <w:pPr>
        <w:pStyle w:val="ReviewSectionHeader"/>
        <w:rPr>
          <w:lang w:val="en-CA"/>
        </w:rPr>
      </w:pPr>
      <w:r w:rsidRPr="003A1CDF">
        <w:rPr>
          <w:lang w:val="en-CA"/>
        </w:rPr>
        <w:t>Extras</w:t>
      </w:r>
    </w:p>
    <w:p w14:paraId="127DBB1E" w14:textId="70F7BE9D" w:rsidR="00DE7F6E" w:rsidRPr="003F013E" w:rsidRDefault="00DE7F6E" w:rsidP="00DE7F6E">
      <w:pPr>
        <w:pStyle w:val="ReviewSectionContent"/>
        <w:rPr>
          <w:lang w:val="en-CA"/>
        </w:rPr>
      </w:pPr>
      <w:r>
        <w:rPr>
          <w:lang w:val="en-CA"/>
        </w:rPr>
        <w:t>Nit: Using a data adapter to simply load data, although simpler, is a bit heavy handed, and removes control over the data reader it uses internally.  I suggest using a command and reader instead.</w:t>
      </w:r>
      <w:r w:rsidR="005675EB">
        <w:rPr>
          <w:lang w:val="en-CA"/>
        </w:rPr>
        <w:br/>
      </w:r>
      <w:r w:rsidR="005675EB" w:rsidRPr="005675EB">
        <w:rPr>
          <w:lang w:val="en-CA"/>
        </w:rPr>
        <w:drawing>
          <wp:inline distT="0" distB="0" distL="0" distR="0" wp14:anchorId="6B588691" wp14:editId="4B3220A0">
            <wp:extent cx="7181850" cy="821812"/>
            <wp:effectExtent l="0" t="0" r="0" b="0"/>
            <wp:docPr id="1430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176" name=""/>
                    <pic:cNvPicPr/>
                  </pic:nvPicPr>
                  <pic:blipFill>
                    <a:blip r:embed="rId11"/>
                    <a:stretch>
                      <a:fillRect/>
                    </a:stretch>
                  </pic:blipFill>
                  <pic:spPr>
                    <a:xfrm>
                      <a:off x="0" y="0"/>
                      <a:ext cx="7201603" cy="824072"/>
                    </a:xfrm>
                    <a:prstGeom prst="rect">
                      <a:avLst/>
                    </a:prstGeom>
                  </pic:spPr>
                </pic:pic>
              </a:graphicData>
            </a:graphic>
          </wp:inline>
        </w:drawing>
      </w:r>
    </w:p>
    <w:sectPr w:rsidR="00DE7F6E" w:rsidRPr="003F013E"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141A0E"/>
    <w:rsid w:val="00171E38"/>
    <w:rsid w:val="00172E27"/>
    <w:rsid w:val="00322FA8"/>
    <w:rsid w:val="00385D28"/>
    <w:rsid w:val="003A1CDF"/>
    <w:rsid w:val="003F013E"/>
    <w:rsid w:val="004414E5"/>
    <w:rsid w:val="005675EB"/>
    <w:rsid w:val="005B0DE7"/>
    <w:rsid w:val="005C6068"/>
    <w:rsid w:val="006205F3"/>
    <w:rsid w:val="0062097B"/>
    <w:rsid w:val="006A0400"/>
    <w:rsid w:val="007F1F3C"/>
    <w:rsid w:val="008238CD"/>
    <w:rsid w:val="00872841"/>
    <w:rsid w:val="009D56D0"/>
    <w:rsid w:val="009E6C2D"/>
    <w:rsid w:val="00A31C66"/>
    <w:rsid w:val="00A371D3"/>
    <w:rsid w:val="00A54965"/>
    <w:rsid w:val="00A67FE2"/>
    <w:rsid w:val="00A73769"/>
    <w:rsid w:val="00A972AA"/>
    <w:rsid w:val="00B13DD1"/>
    <w:rsid w:val="00BF03AD"/>
    <w:rsid w:val="00C17A5E"/>
    <w:rsid w:val="00CB717C"/>
    <w:rsid w:val="00D162A2"/>
    <w:rsid w:val="00DE29EB"/>
    <w:rsid w:val="00DE7F6E"/>
    <w:rsid w:val="00E33201"/>
    <w:rsid w:val="00F3288B"/>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1218</TotalTime>
  <Pages>3</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Mark Dell</cp:lastModifiedBy>
  <cp:revision>24</cp:revision>
  <dcterms:created xsi:type="dcterms:W3CDTF">2023-02-02T16:46:00Z</dcterms:created>
  <dcterms:modified xsi:type="dcterms:W3CDTF">2023-07-06T02:19:00Z</dcterms:modified>
</cp:coreProperties>
</file>