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0D0C3EC3"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7E4EDF" w:rsidRPr="007E4EDF">
        <w:rPr>
          <w:rFonts w:ascii="Sitka Small" w:hAnsi="Sitka Small"/>
          <w:b/>
          <w:bCs/>
          <w:noProof/>
          <w:color w:val="1F4E79" w:themeColor="accent5" w:themeShade="80"/>
          <w:sz w:val="44"/>
          <w:szCs w:val="44"/>
          <w:u w:val="single"/>
        </w:rPr>
        <w:t>I2305123</w:t>
      </w:r>
    </w:p>
    <w:p w14:paraId="7F0953C2" w14:textId="0B68DC9A"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7E4EDF">
        <w:rPr>
          <w:rFonts w:ascii="Sitka Small" w:hAnsi="Sitka Small"/>
          <w:i/>
          <w:iCs/>
          <w:color w:val="1F4E79" w:themeColor="accent5" w:themeShade="80"/>
        </w:rPr>
        <w:t>Mark Dell</w:t>
      </w:r>
    </w:p>
    <w:p w14:paraId="23DF3E2D" w14:textId="3FED910D"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7E4EDF">
        <w:rPr>
          <w:rFonts w:ascii="Sitka Small" w:hAnsi="Sitka Small"/>
          <w:i/>
          <w:iCs/>
          <w:color w:val="1F4E79" w:themeColor="accent5" w:themeShade="80"/>
        </w:rPr>
        <w:t>July 5</w:t>
      </w:r>
      <w:r w:rsidR="007E4EDF" w:rsidRPr="007E4EDF">
        <w:rPr>
          <w:rFonts w:ascii="Sitka Small" w:hAnsi="Sitka Small"/>
          <w:i/>
          <w:iCs/>
          <w:color w:val="1F4E79" w:themeColor="accent5" w:themeShade="80"/>
          <w:vertAlign w:val="superscript"/>
        </w:rPr>
        <w:t>th</w:t>
      </w:r>
      <w:r w:rsidR="007E4EDF">
        <w:rPr>
          <w:rFonts w:ascii="Sitka Small" w:hAnsi="Sitka Small"/>
          <w:i/>
          <w:iCs/>
          <w:color w:val="1F4E79" w:themeColor="accent5" w:themeShade="80"/>
        </w:rPr>
        <w:t>, 2023</w:t>
      </w:r>
    </w:p>
    <w:p w14:paraId="49499BC3" w14:textId="02799382" w:rsidR="009E6C2D" w:rsidRDefault="00F3288B" w:rsidP="008238CD">
      <w:pPr>
        <w:pStyle w:val="ReviewSectionHeader"/>
      </w:pPr>
      <w:r>
        <w:t>Bugs</w:t>
      </w:r>
    </w:p>
    <w:p w14:paraId="53C30646" w14:textId="77777777" w:rsidR="00DE29EB" w:rsidRDefault="007F1F3C" w:rsidP="008238CD">
      <w:pPr>
        <w:pStyle w:val="ReviewSectionHeader"/>
      </w:pPr>
      <w:r>
        <w:t>Preventative Action/Safety</w:t>
      </w:r>
    </w:p>
    <w:p w14:paraId="2DCF4B6F" w14:textId="7F7E9EE5" w:rsidR="007E4EDF" w:rsidRPr="00224596" w:rsidRDefault="007E4EDF" w:rsidP="00224596">
      <w:pPr>
        <w:pStyle w:val="ReviewSectionContent"/>
        <w:autoSpaceDE w:val="0"/>
        <w:autoSpaceDN w:val="0"/>
        <w:adjustRightInd w:val="0"/>
        <w:spacing w:line="240" w:lineRule="auto"/>
      </w:pPr>
      <w:r>
        <w:t xml:space="preserve">In your modification for each form, the code reads the data from the registry two times.  It also assumes that the data wasn’t somehow corrupted or written wrongly.  It would be simpler to use </w:t>
      </w:r>
      <w:r>
        <w:rPr>
          <w:noProof/>
        </w:rPr>
        <w:t>Integer.TryParse(</w:t>
      </w:r>
      <w:r>
        <w:t xml:space="preserve">) to directly convert the registry value to the expected integer.  </w:t>
      </w:r>
      <w:r>
        <w:rPr>
          <w:noProof/>
        </w:rPr>
        <w:t>E.g.</w:t>
      </w:r>
      <w:r>
        <w:t xml:space="preserve"> </w:t>
      </w:r>
      <w:r w:rsidRPr="007E4EDF">
        <w:rPr>
          <w:rFonts w:ascii="Consolas" w:hAnsi="Consolas" w:cs="Consolas"/>
          <w:color w:val="0000FF"/>
          <w:kern w:val="0"/>
          <w:sz w:val="19"/>
          <w:szCs w:val="19"/>
          <w:lang w:val="en-CA"/>
        </w:rPr>
        <w:t>Integer</w:t>
      </w:r>
      <w:r w:rsidRPr="007E4EDF">
        <w:rPr>
          <w:rFonts w:ascii="Consolas" w:hAnsi="Consolas" w:cs="Consolas"/>
          <w:color w:val="000000"/>
          <w:kern w:val="0"/>
          <w:sz w:val="19"/>
          <w:szCs w:val="19"/>
          <w:lang w:val="en-CA"/>
        </w:rPr>
        <w:t>.TryParse(CommonService.LoadSettingFromRegister(</w:t>
      </w:r>
      <w:r w:rsidRPr="007E4EDF">
        <w:rPr>
          <w:rFonts w:ascii="Consolas" w:hAnsi="Consolas" w:cs="Consolas"/>
          <w:color w:val="A31515"/>
          <w:kern w:val="0"/>
          <w:sz w:val="19"/>
          <w:szCs w:val="19"/>
          <w:lang w:val="en-CA"/>
        </w:rPr>
        <w:t>"Estimate"</w:t>
      </w:r>
      <w:r w:rsidRPr="007E4EDF">
        <w:rPr>
          <w:rFonts w:ascii="Consolas" w:hAnsi="Consolas" w:cs="Consolas"/>
          <w:color w:val="000000"/>
          <w:kern w:val="0"/>
          <w:sz w:val="19"/>
          <w:szCs w:val="19"/>
          <w:lang w:val="en-CA"/>
        </w:rPr>
        <w:t xml:space="preserve">, </w:t>
      </w:r>
      <w:r w:rsidRPr="007E4EDF">
        <w:rPr>
          <w:rFonts w:ascii="Consolas" w:hAnsi="Consolas" w:cs="Consolas"/>
          <w:noProof/>
          <w:color w:val="A31515"/>
          <w:kern w:val="0"/>
          <w:sz w:val="19"/>
          <w:szCs w:val="19"/>
          <w:lang w:val="en-CA"/>
        </w:rPr>
        <w:t>"HeaderSpacing"</w:t>
      </w:r>
      <w:r w:rsidRPr="007E4EDF">
        <w:rPr>
          <w:rFonts w:ascii="Consolas" w:hAnsi="Consolas" w:cs="Consolas"/>
          <w:color w:val="000000"/>
          <w:kern w:val="0"/>
          <w:sz w:val="19"/>
          <w:szCs w:val="19"/>
          <w:lang w:val="en-CA"/>
        </w:rPr>
        <w:t xml:space="preserve">), </w:t>
      </w:r>
      <w:r w:rsidRPr="007E4EDF">
        <w:rPr>
          <w:rFonts w:ascii="Consolas" w:hAnsi="Consolas" w:cs="Consolas"/>
          <w:noProof/>
          <w:color w:val="000000"/>
          <w:kern w:val="0"/>
          <w:sz w:val="19"/>
          <w:szCs w:val="19"/>
          <w:lang w:val="en-CA"/>
        </w:rPr>
        <w:t>SetSize)</w:t>
      </w:r>
      <w:r w:rsidRPr="007E4EDF">
        <w:rPr>
          <w:rFonts w:ascii="Consolas" w:hAnsi="Consolas" w:cs="Consolas"/>
          <w:noProof/>
          <w:color w:val="000000"/>
          <w:kern w:val="0"/>
          <w:sz w:val="19"/>
          <w:szCs w:val="19"/>
          <w:lang w:val="en-CA"/>
        </w:rPr>
        <w:br/>
      </w:r>
      <w:r>
        <w:t xml:space="preserve">See: </w:t>
      </w:r>
      <w:hyperlink r:id="rId6" w:anchor="system-int32-tryparse(system-string-system-int32@)" w:history="1">
        <w:r>
          <w:rPr>
            <w:rStyle w:val="Hyperlink"/>
          </w:rPr>
          <w:t>Int32.TryParse Method (System) | Microsoft Learn</w:t>
        </w:r>
      </w:hyperlink>
      <w:r>
        <w:t xml:space="preserve"> (</w:t>
      </w:r>
      <w:r w:rsidRPr="00447BDB">
        <w:t>Int32</w:t>
      </w:r>
      <w:r>
        <w:t xml:space="preserve"> is Integer)</w:t>
      </w:r>
      <w:r>
        <w:br/>
      </w:r>
      <w:r w:rsidRPr="007E4EDF">
        <w:drawing>
          <wp:inline distT="0" distB="0" distL="0" distR="0" wp14:anchorId="6E644EF2" wp14:editId="5EF6E7E5">
            <wp:extent cx="6877050" cy="1639667"/>
            <wp:effectExtent l="0" t="0" r="0" b="0"/>
            <wp:docPr id="189501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1606" name=""/>
                    <pic:cNvPicPr/>
                  </pic:nvPicPr>
                  <pic:blipFill>
                    <a:blip r:embed="rId7"/>
                    <a:stretch>
                      <a:fillRect/>
                    </a:stretch>
                  </pic:blipFill>
                  <pic:spPr>
                    <a:xfrm>
                      <a:off x="0" y="0"/>
                      <a:ext cx="6900354" cy="1645223"/>
                    </a:xfrm>
                    <a:prstGeom prst="rect">
                      <a:avLst/>
                    </a:prstGeom>
                  </pic:spPr>
                </pic:pic>
              </a:graphicData>
            </a:graphic>
          </wp:inline>
        </w:drawing>
      </w:r>
      <w:r>
        <w:br/>
      </w:r>
      <w:r w:rsidR="00224596">
        <w:t>R</w:t>
      </w:r>
      <w:r>
        <w:t>eplac</w:t>
      </w:r>
      <w:r w:rsidR="00224596">
        <w:t>ing</w:t>
      </w:r>
      <w:r>
        <w:t xml:space="preserve"> th</w:t>
      </w:r>
      <w:r w:rsidR="00224596">
        <w:t>e “If” statement</w:t>
      </w:r>
      <w:r>
        <w:t xml:space="preserve"> with the following</w:t>
      </w:r>
      <w:r w:rsidR="00224596">
        <w:t xml:space="preserve"> would be safer and simpler:</w:t>
      </w:r>
      <w:r>
        <w:br/>
      </w:r>
      <w:r>
        <w:rPr>
          <w:rFonts w:ascii="Consolas" w:hAnsi="Consolas" w:cs="Consolas"/>
          <w:color w:val="0000FF"/>
          <w:kern w:val="0"/>
          <w:sz w:val="19"/>
          <w:szCs w:val="19"/>
          <w:lang w:val="en-CA"/>
        </w:rPr>
        <w:t>If</w:t>
      </w:r>
      <w:r>
        <w:rPr>
          <w:rFonts w:ascii="Consolas" w:hAnsi="Consolas" w:cs="Consolas"/>
          <w:color w:val="000000"/>
          <w:kern w:val="0"/>
          <w:sz w:val="19"/>
          <w:szCs w:val="19"/>
          <w:lang w:val="en-CA"/>
        </w:rPr>
        <w:t xml:space="preserve"> </w:t>
      </w:r>
      <w:r>
        <w:rPr>
          <w:rFonts w:ascii="Consolas" w:hAnsi="Consolas" w:cs="Consolas"/>
          <w:color w:val="0000FF"/>
          <w:kern w:val="0"/>
          <w:sz w:val="19"/>
          <w:szCs w:val="19"/>
          <w:lang w:val="en-CA"/>
        </w:rPr>
        <w:t>Not</w:t>
      </w:r>
      <w:r>
        <w:rPr>
          <w:rFonts w:ascii="Consolas" w:hAnsi="Consolas" w:cs="Consolas"/>
          <w:color w:val="0000FF"/>
          <w:kern w:val="0"/>
          <w:sz w:val="19"/>
          <w:szCs w:val="19"/>
          <w:lang w:val="en-CA"/>
        </w:rPr>
        <w:t xml:space="preserve"> </w:t>
      </w:r>
      <w:r w:rsidRPr="007E4EDF">
        <w:rPr>
          <w:rFonts w:ascii="Consolas" w:hAnsi="Consolas" w:cs="Consolas"/>
          <w:color w:val="0000FF"/>
          <w:kern w:val="0"/>
          <w:sz w:val="19"/>
          <w:szCs w:val="19"/>
          <w:lang w:val="en-CA"/>
        </w:rPr>
        <w:t>Integer</w:t>
      </w:r>
      <w:r w:rsidRPr="007E4EDF">
        <w:rPr>
          <w:rFonts w:ascii="Consolas" w:hAnsi="Consolas" w:cs="Consolas"/>
          <w:color w:val="000000"/>
          <w:kern w:val="0"/>
          <w:sz w:val="19"/>
          <w:szCs w:val="19"/>
          <w:lang w:val="en-CA"/>
        </w:rPr>
        <w:t>.TryParse(CommonService.LoadSettingFromRegister</w:t>
      </w:r>
      <w:r>
        <w:rPr>
          <w:rFonts w:ascii="Consolas" w:hAnsi="Consolas" w:cs="Consolas"/>
          <w:color w:val="000000"/>
          <w:kern w:val="0"/>
          <w:sz w:val="19"/>
          <w:szCs w:val="19"/>
          <w:lang w:val="en-CA"/>
        </w:rPr>
        <w:t>(Constants.Inv</w:t>
      </w:r>
      <w:r w:rsidRPr="007E4EDF">
        <w:rPr>
          <w:rFonts w:ascii="Consolas" w:hAnsi="Consolas" w:cs="Consolas"/>
          <w:color w:val="000000"/>
          <w:kern w:val="0"/>
          <w:sz w:val="19"/>
          <w:szCs w:val="19"/>
          <w:lang w:val="en-CA"/>
        </w:rPr>
        <w:t xml:space="preserve">, </w:t>
      </w:r>
      <w:r w:rsidRPr="007E4EDF">
        <w:rPr>
          <w:rFonts w:ascii="Consolas" w:hAnsi="Consolas" w:cs="Consolas"/>
          <w:noProof/>
          <w:color w:val="A31515"/>
          <w:kern w:val="0"/>
          <w:sz w:val="19"/>
          <w:szCs w:val="19"/>
          <w:lang w:val="en-CA"/>
        </w:rPr>
        <w:t>"HeaderSpacing"</w:t>
      </w:r>
      <w:r w:rsidRPr="007E4EDF">
        <w:rPr>
          <w:rFonts w:ascii="Consolas" w:hAnsi="Consolas" w:cs="Consolas"/>
          <w:color w:val="000000"/>
          <w:kern w:val="0"/>
          <w:sz w:val="19"/>
          <w:szCs w:val="19"/>
          <w:lang w:val="en-CA"/>
        </w:rPr>
        <w:t xml:space="preserve">), </w:t>
      </w:r>
      <w:r w:rsidRPr="007E4EDF">
        <w:rPr>
          <w:rFonts w:ascii="Consolas" w:hAnsi="Consolas" w:cs="Consolas"/>
          <w:noProof/>
          <w:color w:val="000000"/>
          <w:kern w:val="0"/>
          <w:sz w:val="19"/>
          <w:szCs w:val="19"/>
          <w:lang w:val="en-CA"/>
        </w:rPr>
        <w:t>SetSize)</w:t>
      </w:r>
      <w:r w:rsidR="00224596">
        <w:rPr>
          <w:rFonts w:ascii="Consolas" w:hAnsi="Consolas" w:cs="Consolas"/>
          <w:color w:val="000000"/>
          <w:kern w:val="0"/>
          <w:sz w:val="19"/>
          <w:szCs w:val="19"/>
          <w:lang w:val="en-CA"/>
        </w:rPr>
        <w:t xml:space="preserve"> </w:t>
      </w:r>
      <w:r w:rsidR="00224596">
        <w:rPr>
          <w:rFonts w:ascii="Consolas" w:hAnsi="Consolas" w:cs="Consolas"/>
          <w:noProof/>
          <w:color w:val="0000FF"/>
          <w:kern w:val="0"/>
          <w:sz w:val="19"/>
          <w:szCs w:val="19"/>
          <w:lang w:val="en-CA"/>
        </w:rPr>
        <w:t>OrElse</w:t>
      </w:r>
      <w:r w:rsidR="00224596">
        <w:rPr>
          <w:rFonts w:ascii="Consolas" w:hAnsi="Consolas" w:cs="Consolas"/>
          <w:noProof/>
          <w:color w:val="0000FF"/>
          <w:kern w:val="0"/>
          <w:sz w:val="19"/>
          <w:szCs w:val="19"/>
          <w:lang w:val="en-CA"/>
        </w:rPr>
        <w:br/>
      </w:r>
      <w:r w:rsidR="00224596">
        <w:rPr>
          <w:rFonts w:ascii="Consolas" w:hAnsi="Consolas" w:cs="Consolas"/>
          <w:noProof/>
          <w:color w:val="0000FF"/>
          <w:kern w:val="0"/>
          <w:sz w:val="19"/>
          <w:szCs w:val="19"/>
          <w:lang w:val="en-CA"/>
        </w:rPr>
        <w:tab/>
      </w:r>
      <w:r w:rsidR="00224596">
        <w:rPr>
          <w:rFonts w:ascii="Consolas" w:hAnsi="Consolas" w:cs="Consolas"/>
          <w:noProof/>
          <w:color w:val="0000FF"/>
          <w:kern w:val="0"/>
          <w:sz w:val="19"/>
          <w:szCs w:val="19"/>
          <w:lang w:val="en-CA"/>
        </w:rPr>
        <w:tab/>
      </w:r>
      <w:r w:rsidR="00224596">
        <w:rPr>
          <w:rFonts w:ascii="Consolas" w:hAnsi="Consolas" w:cs="Consolas"/>
          <w:noProof/>
          <w:color w:val="000000"/>
          <w:kern w:val="0"/>
          <w:sz w:val="19"/>
          <w:szCs w:val="19"/>
          <w:lang w:val="en-CA"/>
        </w:rPr>
        <w:t xml:space="preserve"> </w:t>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00224596">
        <w:rPr>
          <w:rFonts w:ascii="Consolas" w:hAnsi="Consolas" w:cs="Consolas"/>
          <w:noProof/>
          <w:color w:val="000000"/>
          <w:kern w:val="0"/>
          <w:sz w:val="19"/>
          <w:szCs w:val="19"/>
          <w:lang w:val="en-CA"/>
        </w:rPr>
        <w:tab/>
      </w:r>
      <w:r w:rsidRPr="007E4EDF">
        <w:rPr>
          <w:rFonts w:ascii="Consolas" w:hAnsi="Consolas" w:cs="Consolas"/>
          <w:noProof/>
          <w:color w:val="000000"/>
          <w:kern w:val="0"/>
          <w:sz w:val="19"/>
          <w:szCs w:val="19"/>
          <w:lang w:val="en-CA"/>
        </w:rPr>
        <w:t xml:space="preserve">spcInvoiceMain.Panel1MinSize &gt; SetSize </w:t>
      </w:r>
      <w:r w:rsidRPr="007E4EDF">
        <w:rPr>
          <w:rFonts w:ascii="Consolas" w:hAnsi="Consolas" w:cs="Consolas"/>
          <w:noProof/>
          <w:color w:val="0000FF"/>
          <w:kern w:val="0"/>
          <w:sz w:val="19"/>
          <w:szCs w:val="19"/>
          <w:lang w:val="en-CA"/>
        </w:rPr>
        <w:t>Then</w:t>
      </w:r>
      <w:r w:rsidRPr="007E4EDF">
        <w:rPr>
          <w:rFonts w:ascii="Consolas" w:hAnsi="Consolas" w:cs="Consolas"/>
          <w:noProof/>
          <w:color w:val="0000FF"/>
          <w:kern w:val="0"/>
          <w:sz w:val="19"/>
          <w:szCs w:val="19"/>
          <w:lang w:val="en-CA"/>
        </w:rPr>
        <w:br/>
      </w:r>
      <w:r w:rsidRPr="007E4EDF">
        <w:rPr>
          <w:rFonts w:ascii="Consolas" w:hAnsi="Consolas" w:cs="Consolas"/>
          <w:noProof/>
          <w:color w:val="000000"/>
          <w:kern w:val="0"/>
          <w:sz w:val="19"/>
          <w:szCs w:val="19"/>
          <w:lang w:val="en-CA"/>
        </w:rPr>
        <w:t xml:space="preserve">    SetSize = spcInvoiceMain.Panel1MinSize</w:t>
      </w:r>
      <w:r>
        <w:rPr>
          <w:rFonts w:ascii="Consolas" w:hAnsi="Consolas" w:cs="Consolas"/>
          <w:color w:val="000000"/>
          <w:kern w:val="0"/>
          <w:sz w:val="19"/>
          <w:szCs w:val="19"/>
          <w:lang w:val="en-CA"/>
        </w:rPr>
        <w:br/>
      </w:r>
      <w:r w:rsidRPr="007E4EDF">
        <w:rPr>
          <w:rFonts w:ascii="Consolas" w:hAnsi="Consolas" w:cs="Consolas"/>
          <w:color w:val="0000FF"/>
          <w:kern w:val="0"/>
          <w:sz w:val="19"/>
          <w:szCs w:val="19"/>
          <w:lang w:val="en-CA"/>
        </w:rPr>
        <w:t>End</w:t>
      </w:r>
      <w:r w:rsidRPr="007E4EDF">
        <w:rPr>
          <w:rFonts w:ascii="Consolas" w:hAnsi="Consolas" w:cs="Consolas"/>
          <w:color w:val="000000"/>
          <w:kern w:val="0"/>
          <w:sz w:val="19"/>
          <w:szCs w:val="19"/>
          <w:lang w:val="en-CA"/>
        </w:rPr>
        <w:t xml:space="preserve"> </w:t>
      </w:r>
      <w:r w:rsidRPr="007E4EDF">
        <w:rPr>
          <w:rFonts w:ascii="Consolas" w:hAnsi="Consolas" w:cs="Consolas"/>
          <w:color w:val="0000FF"/>
          <w:kern w:val="0"/>
          <w:sz w:val="19"/>
          <w:szCs w:val="19"/>
          <w:lang w:val="en-CA"/>
        </w:rPr>
        <w:t>If</w:t>
      </w:r>
    </w:p>
    <w:p w14:paraId="775CDB21" w14:textId="57ABDBE4" w:rsidR="00224596" w:rsidRPr="009E6C2D" w:rsidRDefault="00224596" w:rsidP="00224596">
      <w:pPr>
        <w:pStyle w:val="ReviewSectionContent"/>
        <w:numPr>
          <w:ilvl w:val="0"/>
          <w:numId w:val="0"/>
        </w:numPr>
        <w:ind w:left="720"/>
      </w:pPr>
      <w:r>
        <w:t>Note that this applies to all code files you made this change to.</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lastRenderedPageBreak/>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Pr="009E6C2D" w:rsidRDefault="00F3288B" w:rsidP="008238CD">
      <w:pPr>
        <w:pStyle w:val="ReviewSectionHeader"/>
        <w:rPr>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P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77C7165A" w14:textId="2048DEA6" w:rsidR="006A0400" w:rsidRPr="000E228C" w:rsidRDefault="006A0400" w:rsidP="008238CD">
      <w:pPr>
        <w:pStyle w:val="ReviewSectionHeader"/>
        <w:rPr>
          <w:sz w:val="24"/>
          <w:szCs w:val="24"/>
        </w:rPr>
      </w:pPr>
      <w:r>
        <w:t>Extras</w:t>
      </w:r>
    </w:p>
    <w:p w14:paraId="257F7076" w14:textId="1E4AA7AE" w:rsidR="006A0400" w:rsidRPr="006A0400" w:rsidRDefault="006A0400" w:rsidP="008238CD">
      <w:pPr>
        <w:rPr>
          <w:rFonts w:ascii="Sitka Small" w:hAnsi="Sitka Small"/>
          <w:color w:val="1F4E79" w:themeColor="accent5" w:themeShade="80"/>
          <w:sz w:val="24"/>
          <w:szCs w:val="24"/>
        </w:rPr>
      </w:pP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224596"/>
    <w:rsid w:val="00322FA8"/>
    <w:rsid w:val="00385D28"/>
    <w:rsid w:val="004414E5"/>
    <w:rsid w:val="006205F3"/>
    <w:rsid w:val="006A0400"/>
    <w:rsid w:val="007E4EDF"/>
    <w:rsid w:val="007F1F3C"/>
    <w:rsid w:val="008238CD"/>
    <w:rsid w:val="00872841"/>
    <w:rsid w:val="009D56D0"/>
    <w:rsid w:val="009E6C2D"/>
    <w:rsid w:val="00A371D3"/>
    <w:rsid w:val="00A54965"/>
    <w:rsid w:val="00A73769"/>
    <w:rsid w:val="00A972AA"/>
    <w:rsid w:val="00B13DD1"/>
    <w:rsid w:val="00BF03AD"/>
    <w:rsid w:val="00C17A5E"/>
    <w:rsid w:val="00DE29EB"/>
    <w:rsid w:val="00E33201"/>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 w:type="character" w:styleId="Hyperlink">
    <w:name w:val="Hyperlink"/>
    <w:basedOn w:val="DefaultParagraphFont"/>
    <w:uiPriority w:val="99"/>
    <w:semiHidden/>
    <w:unhideWhenUsed/>
    <w:rsid w:val="007E4E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en-us/dotnet/api/system.int32.tryparse?view=netframework-4.8"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2</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17</cp:revision>
  <dcterms:created xsi:type="dcterms:W3CDTF">2023-02-02T16:46:00Z</dcterms:created>
  <dcterms:modified xsi:type="dcterms:W3CDTF">2023-07-06T00:58:00Z</dcterms:modified>
</cp:coreProperties>
</file>