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503E7A5E"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FA61E3" w:rsidRPr="00FA61E3">
        <w:rPr>
          <w:rFonts w:ascii="Sitka Small" w:hAnsi="Sitka Small"/>
          <w:b/>
          <w:bCs/>
          <w:noProof/>
          <w:color w:val="1F4E79" w:themeColor="accent5" w:themeShade="80"/>
          <w:sz w:val="44"/>
          <w:szCs w:val="44"/>
          <w:u w:val="single"/>
        </w:rPr>
        <w:t>I2305178</w:t>
      </w:r>
    </w:p>
    <w:p w14:paraId="7F0953C2" w14:textId="322BBFC6"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E92F3C">
        <w:rPr>
          <w:rFonts w:ascii="Sitka Small" w:hAnsi="Sitka Small"/>
          <w:i/>
          <w:iCs/>
          <w:color w:val="1F4E79" w:themeColor="accent5" w:themeShade="80"/>
        </w:rPr>
        <w:t>Mark Dell</w:t>
      </w:r>
    </w:p>
    <w:p w14:paraId="23DF3E2D" w14:textId="2ACD5AD2" w:rsidR="009D56D0" w:rsidRDefault="009D56D0" w:rsidP="009D56D0">
      <w:pPr>
        <w:spacing w:after="0" w:line="240" w:lineRule="auto"/>
        <w:jc w:val="center"/>
        <w:rPr>
          <w:rFonts w:ascii="Sitka Small" w:hAnsi="Sitka Small"/>
          <w:i/>
          <w:iCs/>
          <w:color w:val="1F4E79" w:themeColor="accent5" w:themeShade="80"/>
        </w:rPr>
      </w:pPr>
      <w:r>
        <w:rPr>
          <w:rFonts w:ascii="Sitka Small" w:hAnsi="Sitka Small"/>
          <w:color w:val="1F4E79" w:themeColor="accent5" w:themeShade="80"/>
        </w:rPr>
        <w:t xml:space="preserve">Date: </w:t>
      </w:r>
      <w:r w:rsidR="00E92F3C">
        <w:rPr>
          <w:rFonts w:ascii="Sitka Small" w:hAnsi="Sitka Small"/>
          <w:i/>
          <w:iCs/>
          <w:color w:val="1F4E79" w:themeColor="accent5" w:themeShade="80"/>
        </w:rPr>
        <w:t>September 22</w:t>
      </w:r>
      <w:r w:rsidR="00E92F3C" w:rsidRPr="00E92F3C">
        <w:rPr>
          <w:rFonts w:ascii="Sitka Small" w:hAnsi="Sitka Small"/>
          <w:i/>
          <w:iCs/>
          <w:color w:val="1F4E79" w:themeColor="accent5" w:themeShade="80"/>
          <w:vertAlign w:val="superscript"/>
        </w:rPr>
        <w:t>nd</w:t>
      </w:r>
      <w:r w:rsidR="00E92F3C">
        <w:rPr>
          <w:rFonts w:ascii="Sitka Small" w:hAnsi="Sitka Small"/>
          <w:i/>
          <w:iCs/>
          <w:color w:val="1F4E79" w:themeColor="accent5" w:themeShade="80"/>
        </w:rPr>
        <w:t>, 2023</w:t>
      </w:r>
    </w:p>
    <w:p w14:paraId="49499BC3" w14:textId="02799382" w:rsidR="009E6C2D" w:rsidRDefault="00F3288B" w:rsidP="008238CD">
      <w:pPr>
        <w:pStyle w:val="ReviewSectionHeader"/>
      </w:pPr>
      <w:r>
        <w:t>Bugs</w:t>
      </w:r>
    </w:p>
    <w:p w14:paraId="53C30646" w14:textId="77777777" w:rsidR="00DE29EB" w:rsidRPr="009E6C2D" w:rsidRDefault="007F1F3C" w:rsidP="008238CD">
      <w:pPr>
        <w:pStyle w:val="ReviewSectionHeader"/>
        <w:rPr>
          <w:sz w:val="24"/>
          <w:szCs w:val="24"/>
        </w:rPr>
      </w:pPr>
      <w:r>
        <w:t>Preventative Action/Safety</w:t>
      </w:r>
    </w:p>
    <w:p w14:paraId="14E002E9" w14:textId="715B587F" w:rsidR="00DE29EB" w:rsidRDefault="00DE29EB" w:rsidP="008238CD">
      <w:pPr>
        <w:pStyle w:val="ReviewSectionHeader"/>
        <w:rPr>
          <w:b w:val="0"/>
          <w:bCs w:val="0"/>
        </w:rPr>
      </w:pPr>
      <w:r w:rsidRPr="00F3288B">
        <w:t>Design/Architecture</w:t>
      </w:r>
      <w:r w:rsidRPr="00F3288B">
        <w:rPr>
          <w:sz w:val="24"/>
          <w:szCs w:val="24"/>
        </w:rPr>
        <w:t xml:space="preserve"> </w:t>
      </w:r>
      <w:r w:rsidRPr="008238CD">
        <w:rPr>
          <w:b w:val="0"/>
          <w:bCs w:val="0"/>
          <w:sz w:val="24"/>
          <w:szCs w:val="24"/>
        </w:rPr>
        <w:t>(Duplication, appropriate project, namespaces</w:t>
      </w:r>
      <w:r w:rsidR="006205F3" w:rsidRPr="008238CD">
        <w:rPr>
          <w:b w:val="0"/>
          <w:bCs w:val="0"/>
          <w:sz w:val="24"/>
          <w:szCs w:val="24"/>
        </w:rPr>
        <w:t>, maintainability</w:t>
      </w:r>
      <w:r w:rsidRPr="008238CD">
        <w:rPr>
          <w:b w:val="0"/>
          <w:bCs w:val="0"/>
          <w:sz w:val="24"/>
          <w:szCs w:val="24"/>
        </w:rPr>
        <w:t>)</w:t>
      </w:r>
    </w:p>
    <w:p w14:paraId="4A81AAA0" w14:textId="25FE49C0" w:rsidR="00DE29EB" w:rsidRPr="009E6C2D" w:rsidRDefault="00DE29EB" w:rsidP="008238CD">
      <w:pPr>
        <w:pStyle w:val="ReviewSectionHeader"/>
        <w:rPr>
          <w:sz w:val="24"/>
          <w:szCs w:val="24"/>
        </w:rPr>
      </w:pPr>
      <w:r>
        <w:t>Data Model</w:t>
      </w:r>
      <w:r w:rsidR="008238CD">
        <w:rPr>
          <w:b w:val="0"/>
          <w:bCs w:val="0"/>
        </w:rPr>
        <w:t xml:space="preserve"> </w:t>
      </w:r>
      <w:r w:rsidRPr="008238CD">
        <w:rPr>
          <w:b w:val="0"/>
          <w:bCs w:val="0"/>
          <w:sz w:val="24"/>
          <w:szCs w:val="24"/>
        </w:rPr>
        <w:t>(Naming, good design, need</w:t>
      </w:r>
      <w:r w:rsidR="00E33201" w:rsidRPr="008238CD">
        <w:rPr>
          <w:b w:val="0"/>
          <w:bCs w:val="0"/>
          <w:sz w:val="24"/>
          <w:szCs w:val="24"/>
        </w:rPr>
        <w:t>s</w:t>
      </w:r>
      <w:r w:rsidRPr="008238CD">
        <w:rPr>
          <w:b w:val="0"/>
          <w:bCs w:val="0"/>
          <w:sz w:val="24"/>
          <w:szCs w:val="24"/>
        </w:rPr>
        <w:t xml:space="preserve"> index</w:t>
      </w:r>
      <w:r w:rsidR="00E33201" w:rsidRPr="008238CD">
        <w:rPr>
          <w:b w:val="0"/>
          <w:bCs w:val="0"/>
          <w:sz w:val="24"/>
          <w:szCs w:val="24"/>
        </w:rPr>
        <w:t>?</w:t>
      </w:r>
      <w:r w:rsidRPr="008238CD">
        <w:rPr>
          <w:b w:val="0"/>
          <w:bCs w:val="0"/>
          <w:sz w:val="24"/>
          <w:szCs w:val="24"/>
        </w:rPr>
        <w:t>)</w:t>
      </w:r>
    </w:p>
    <w:p w14:paraId="6B7B86D4" w14:textId="77777777" w:rsidR="00DE29EB" w:rsidRPr="009E6C2D" w:rsidRDefault="00DE29EB" w:rsidP="008238CD">
      <w:pPr>
        <w:pStyle w:val="ReviewSectionHeader"/>
        <w:rPr>
          <w:sz w:val="24"/>
          <w:szCs w:val="24"/>
        </w:rPr>
      </w:pPr>
      <w:r w:rsidRPr="00F3288B">
        <w:t>Performance</w:t>
      </w:r>
      <w:r w:rsidRPr="00F3288B">
        <w:rPr>
          <w:sz w:val="24"/>
          <w:szCs w:val="24"/>
        </w:rPr>
        <w:t xml:space="preserve"> </w:t>
      </w:r>
      <w:r w:rsidRPr="008238CD">
        <w:rPr>
          <w:b w:val="0"/>
          <w:bCs w:val="0"/>
          <w:sz w:val="24"/>
          <w:szCs w:val="24"/>
        </w:rPr>
        <w:t>(Minimize DB hits, excessive loops, queries, scalable)</w:t>
      </w:r>
    </w:p>
    <w:p w14:paraId="56010E17" w14:textId="5350F1A4" w:rsidR="004414E5" w:rsidRPr="008238CD" w:rsidRDefault="00F3288B" w:rsidP="008238CD">
      <w:pPr>
        <w:pStyle w:val="ReviewSectionHeader"/>
        <w:rPr>
          <w:b w:val="0"/>
          <w:bCs w:val="0"/>
          <w:sz w:val="24"/>
          <w:szCs w:val="24"/>
        </w:rPr>
      </w:pPr>
      <w:r w:rsidRPr="00F3288B">
        <w:t>UI</w:t>
      </w:r>
      <w:r w:rsidR="008238CD">
        <w:rPr>
          <w:b w:val="0"/>
          <w:bCs w:val="0"/>
        </w:rPr>
        <w:t xml:space="preserve"> </w:t>
      </w:r>
      <w:r w:rsidRPr="008238CD">
        <w:rPr>
          <w:b w:val="0"/>
          <w:bCs w:val="0"/>
          <w:sz w:val="24"/>
          <w:szCs w:val="24"/>
        </w:rPr>
        <w:t>(Alignment, naming, standardization</w:t>
      </w:r>
      <w:r w:rsidR="00A972AA" w:rsidRPr="008238CD">
        <w:rPr>
          <w:b w:val="0"/>
          <w:bCs w:val="0"/>
          <w:sz w:val="24"/>
          <w:szCs w:val="24"/>
        </w:rPr>
        <w:t>, tab order</w:t>
      </w:r>
      <w:r w:rsidRPr="008238CD">
        <w:rPr>
          <w:b w:val="0"/>
          <w:bCs w:val="0"/>
          <w:sz w:val="24"/>
          <w:szCs w:val="24"/>
        </w:rPr>
        <w:t>)</w:t>
      </w:r>
    </w:p>
    <w:p w14:paraId="5EF08B7A" w14:textId="6E8E2A9C" w:rsidR="00F3288B" w:rsidRPr="008238CD" w:rsidRDefault="00F3288B" w:rsidP="008238CD">
      <w:pPr>
        <w:pStyle w:val="ReviewSectionHeader"/>
        <w:rPr>
          <w:b w:val="0"/>
          <w:bCs w:val="0"/>
          <w:sz w:val="24"/>
          <w:szCs w:val="24"/>
        </w:rPr>
      </w:pPr>
      <w:r w:rsidRPr="00F3288B">
        <w:t>Error Handling</w:t>
      </w:r>
      <w:r w:rsidR="008238CD">
        <w:t xml:space="preserve"> </w:t>
      </w:r>
      <w:r w:rsidRPr="008238CD">
        <w:rPr>
          <w:b w:val="0"/>
          <w:bCs w:val="0"/>
          <w:sz w:val="24"/>
          <w:szCs w:val="24"/>
        </w:rPr>
        <w:t>(Behind events, appropriate parameter checking)</w:t>
      </w:r>
    </w:p>
    <w:p w14:paraId="6ADEF415" w14:textId="7C9B065F" w:rsidR="00F3288B" w:rsidRPr="009E6C2D" w:rsidRDefault="00F3288B" w:rsidP="008238CD">
      <w:pPr>
        <w:pStyle w:val="ReviewSectionHeader"/>
        <w:rPr>
          <w:sz w:val="24"/>
          <w:szCs w:val="24"/>
        </w:rPr>
      </w:pPr>
      <w:r w:rsidRPr="00F3288B">
        <w:t>Cleanup</w:t>
      </w:r>
      <w:r w:rsidRPr="00F3288B">
        <w:rPr>
          <w:sz w:val="24"/>
          <w:szCs w:val="24"/>
        </w:rPr>
        <w:t xml:space="preserve"> </w:t>
      </w:r>
      <w:r w:rsidRPr="008238CD">
        <w:rPr>
          <w:b w:val="0"/>
          <w:bCs w:val="0"/>
          <w:sz w:val="24"/>
          <w:szCs w:val="24"/>
        </w:rPr>
        <w:t>(Dispose code, remove handlers, large data objects)</w:t>
      </w:r>
    </w:p>
    <w:p w14:paraId="5DFBC67B" w14:textId="77777777" w:rsidR="00DE29EB" w:rsidRDefault="00F3288B" w:rsidP="008238CD">
      <w:pPr>
        <w:pStyle w:val="ReviewSectionHeader"/>
        <w:rPr>
          <w:b w:val="0"/>
          <w:bCs w:val="0"/>
          <w:sz w:val="24"/>
          <w:szCs w:val="24"/>
        </w:rPr>
      </w:pPr>
      <w:r w:rsidRPr="00F3288B">
        <w:t>Readability</w:t>
      </w:r>
      <w:r w:rsidRPr="00F3288B">
        <w:rPr>
          <w:sz w:val="24"/>
          <w:szCs w:val="24"/>
        </w:rPr>
        <w:t xml:space="preserve"> </w:t>
      </w:r>
      <w:r w:rsidRPr="008238CD">
        <w:rPr>
          <w:b w:val="0"/>
          <w:bCs w:val="0"/>
          <w:sz w:val="24"/>
          <w:szCs w:val="24"/>
        </w:rPr>
        <w:t>(Well-named variables, methods, clear algorithm, is it understandable)</w:t>
      </w:r>
    </w:p>
    <w:p w14:paraId="28598626" w14:textId="3A4DF84A" w:rsidR="00FA61E3" w:rsidRDefault="007516E9" w:rsidP="007516E9">
      <w:pPr>
        <w:pStyle w:val="ReviewSectionContent"/>
      </w:pPr>
      <w:r>
        <w:t xml:space="preserve">Use of a </w:t>
      </w:r>
      <w:r>
        <w:rPr>
          <w:noProof/>
        </w:rPr>
        <w:t>SQLReader</w:t>
      </w:r>
      <w:r>
        <w:t xml:space="preserve"> is not needed when </w:t>
      </w:r>
      <w:r>
        <w:rPr>
          <w:noProof/>
        </w:rPr>
        <w:t>ExecuteScalar</w:t>
      </w:r>
      <w:r>
        <w:t xml:space="preserve"> will do.</w:t>
      </w:r>
      <w:r>
        <w:br/>
      </w:r>
      <w:r w:rsidRPr="007516E9">
        <w:drawing>
          <wp:inline distT="0" distB="0" distL="0" distR="0" wp14:anchorId="5C3B0772" wp14:editId="59144856">
            <wp:extent cx="6477000" cy="1265348"/>
            <wp:effectExtent l="0" t="0" r="0" b="0"/>
            <wp:docPr id="102455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51857" name=""/>
                    <pic:cNvPicPr/>
                  </pic:nvPicPr>
                  <pic:blipFill>
                    <a:blip r:embed="rId6"/>
                    <a:stretch>
                      <a:fillRect/>
                    </a:stretch>
                  </pic:blipFill>
                  <pic:spPr>
                    <a:xfrm>
                      <a:off x="0" y="0"/>
                      <a:ext cx="6524641" cy="1274655"/>
                    </a:xfrm>
                    <a:prstGeom prst="rect">
                      <a:avLst/>
                    </a:prstGeom>
                  </pic:spPr>
                </pic:pic>
              </a:graphicData>
            </a:graphic>
          </wp:inline>
        </w:drawing>
      </w:r>
    </w:p>
    <w:p w14:paraId="0F17CF4A" w14:textId="77777777" w:rsidR="00533112" w:rsidRDefault="007516E9" w:rsidP="00533112">
      <w:pPr>
        <w:pStyle w:val="ReviewSectionContent"/>
      </w:pPr>
      <w:r>
        <w:lastRenderedPageBreak/>
        <w:t xml:space="preserve">Nit: I always use </w:t>
      </w:r>
      <w:r>
        <w:rPr>
          <w:noProof/>
        </w:rPr>
        <w:t>“ActiveMCM.CreateCommand</w:t>
      </w:r>
      <w:r>
        <w:t xml:space="preserve">()” instead of “New </w:t>
      </w:r>
      <w:r>
        <w:rPr>
          <w:noProof/>
        </w:rPr>
        <w:t>SqlCommand</w:t>
      </w:r>
      <w:r>
        <w:t xml:space="preserve">”.  That way if I ever do it against a different connection class, I always get the correct command object.  The disadvantage is that the </w:t>
      </w:r>
      <w:r>
        <w:rPr>
          <w:noProof/>
        </w:rPr>
        <w:t>CommandText</w:t>
      </w:r>
      <w:r>
        <w:t xml:space="preserve"> can’t be specified in the command.</w:t>
      </w:r>
    </w:p>
    <w:p w14:paraId="67CB6574" w14:textId="228E5D2B" w:rsidR="007516E9" w:rsidRDefault="00533112" w:rsidP="00533112">
      <w:pPr>
        <w:pStyle w:val="ReviewSectionContent"/>
      </w:pPr>
      <w:r>
        <w:t>D</w:t>
      </w:r>
      <w:r>
        <w:t xml:space="preserve">uplicate columns </w:t>
      </w:r>
      <w:r>
        <w:t>are created in this</w:t>
      </w:r>
      <w:r>
        <w:t xml:space="preserve"> SQL based on a fixed value</w:t>
      </w:r>
      <w:r w:rsidR="00CA792E">
        <w:t>,</w:t>
      </w:r>
      <w:r>
        <w:t xml:space="preserve"> and another column </w:t>
      </w:r>
      <w:r>
        <w:t xml:space="preserve">in that same </w:t>
      </w:r>
      <w:r>
        <w:t>SQL</w:t>
      </w:r>
      <w:r>
        <w:t>.  This reduces readability</w:t>
      </w:r>
      <w:r w:rsidR="00CA792E">
        <w:t>,</w:t>
      </w:r>
      <w:r>
        <w:t xml:space="preserve"> and implies additional complexity because </w:t>
      </w:r>
      <w:r w:rsidR="00CA792E">
        <w:t xml:space="preserve">where they are used </w:t>
      </w:r>
      <w:r w:rsidR="00CA792E">
        <w:t>in the code</w:t>
      </w:r>
      <w:r w:rsidR="00CA792E">
        <w:t xml:space="preserve"> </w:t>
      </w:r>
      <w:r>
        <w:t xml:space="preserve">it </w:t>
      </w:r>
      <w:r w:rsidR="00CA792E">
        <w:t>appears</w:t>
      </w:r>
      <w:r>
        <w:t xml:space="preserve"> </w:t>
      </w:r>
      <w:r w:rsidR="00CA792E">
        <w:t>that these</w:t>
      </w:r>
      <w:r>
        <w:t xml:space="preserve"> may </w:t>
      </w:r>
      <w:r w:rsidR="00CA792E">
        <w:t>not be related</w:t>
      </w:r>
      <w:r>
        <w:t>.</w:t>
      </w:r>
      <w:r w:rsidR="00CA792E">
        <w:t xml:space="preserve">  I understand that this may be because this form is based on the Reports one, and would be more understandable if </w:t>
      </w:r>
      <w:r w:rsidR="003B0EF7">
        <w:t>the two</w:t>
      </w:r>
      <w:r w:rsidR="00CA792E">
        <w:t xml:space="preserve"> form</w:t>
      </w:r>
      <w:r w:rsidR="003B0EF7">
        <w:t>s were combined</w:t>
      </w:r>
      <w:r w:rsidR="00CA792E">
        <w:t>.</w:t>
      </w:r>
      <w:r>
        <w:br/>
      </w:r>
      <w:r w:rsidRPr="00533112">
        <w:drawing>
          <wp:inline distT="0" distB="0" distL="0" distR="0" wp14:anchorId="198058E5" wp14:editId="24960E0A">
            <wp:extent cx="8229600" cy="1699895"/>
            <wp:effectExtent l="0" t="0" r="0" b="0"/>
            <wp:docPr id="194070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5425" name=""/>
                    <pic:cNvPicPr/>
                  </pic:nvPicPr>
                  <pic:blipFill>
                    <a:blip r:embed="rId7"/>
                    <a:stretch>
                      <a:fillRect/>
                    </a:stretch>
                  </pic:blipFill>
                  <pic:spPr>
                    <a:xfrm>
                      <a:off x="0" y="0"/>
                      <a:ext cx="8229600" cy="1699895"/>
                    </a:xfrm>
                    <a:prstGeom prst="rect">
                      <a:avLst/>
                    </a:prstGeom>
                  </pic:spPr>
                </pic:pic>
              </a:graphicData>
            </a:graphic>
          </wp:inline>
        </w:drawing>
      </w:r>
      <w:r>
        <w:t xml:space="preserve"> </w:t>
      </w:r>
    </w:p>
    <w:p w14:paraId="5BB67BD1" w14:textId="1C7DFA94" w:rsidR="00CD7887" w:rsidRPr="009E6C2D" w:rsidRDefault="00CD7887" w:rsidP="00533112">
      <w:pPr>
        <w:pStyle w:val="ReviewSectionContent"/>
      </w:pPr>
      <w:r>
        <w:t>Commented out code was left in the new form’s code.  Except to very specific circumstances where a comment was included to explain why, we should no longer be doing this, even when modifying existing code.</w:t>
      </w:r>
      <w:r>
        <w:br/>
      </w:r>
      <w:r w:rsidRPr="00CD7887">
        <w:drawing>
          <wp:inline distT="0" distB="0" distL="0" distR="0" wp14:anchorId="2802B45E" wp14:editId="1AD334DA">
            <wp:extent cx="8229600" cy="1017270"/>
            <wp:effectExtent l="0" t="0" r="0" b="0"/>
            <wp:docPr id="195710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06900" name=""/>
                    <pic:cNvPicPr/>
                  </pic:nvPicPr>
                  <pic:blipFill>
                    <a:blip r:embed="rId8"/>
                    <a:stretch>
                      <a:fillRect/>
                    </a:stretch>
                  </pic:blipFill>
                  <pic:spPr>
                    <a:xfrm>
                      <a:off x="0" y="0"/>
                      <a:ext cx="8229600" cy="1017270"/>
                    </a:xfrm>
                    <a:prstGeom prst="rect">
                      <a:avLst/>
                    </a:prstGeom>
                  </pic:spPr>
                </pic:pic>
              </a:graphicData>
            </a:graphic>
          </wp:inline>
        </w:drawing>
      </w:r>
    </w:p>
    <w:p w14:paraId="067FEF08" w14:textId="3E56FC21" w:rsidR="00DE29EB" w:rsidRPr="009E6C2D" w:rsidRDefault="00DE29EB" w:rsidP="008238CD">
      <w:pPr>
        <w:pStyle w:val="ReviewSectionHeader"/>
        <w:rPr>
          <w:sz w:val="24"/>
          <w:szCs w:val="24"/>
        </w:rPr>
      </w:pPr>
      <w:r w:rsidRPr="00F3288B">
        <w:t>Comments</w:t>
      </w:r>
      <w:r w:rsidRPr="00F3288B">
        <w:rPr>
          <w:sz w:val="24"/>
          <w:szCs w:val="24"/>
        </w:rPr>
        <w:t xml:space="preserve"> </w:t>
      </w:r>
      <w:r w:rsidRPr="008238CD">
        <w:rPr>
          <w:b w:val="0"/>
          <w:bCs w:val="0"/>
          <w:sz w:val="24"/>
          <w:szCs w:val="24"/>
        </w:rPr>
        <w:t>(Useful, explains why rather than how)</w:t>
      </w:r>
    </w:p>
    <w:p w14:paraId="52E77A31" w14:textId="200D864C" w:rsidR="006A0400" w:rsidRPr="009E6C2D" w:rsidRDefault="00DE29EB" w:rsidP="008238CD">
      <w:pPr>
        <w:pStyle w:val="ReviewSectionHeader"/>
        <w:rPr>
          <w:sz w:val="24"/>
          <w:szCs w:val="24"/>
        </w:rPr>
      </w:pPr>
      <w:r w:rsidRPr="00F3288B">
        <w:t>Message Boxes</w:t>
      </w:r>
      <w:r w:rsidRPr="00F3288B">
        <w:rPr>
          <w:sz w:val="24"/>
          <w:szCs w:val="24"/>
        </w:rPr>
        <w:t xml:space="preserve"> </w:t>
      </w:r>
      <w:r w:rsidRPr="008238CD">
        <w:rPr>
          <w:b w:val="0"/>
          <w:bCs w:val="0"/>
          <w:sz w:val="24"/>
          <w:szCs w:val="24"/>
        </w:rPr>
        <w:t>(Grammar, spelling, captions, appropriate icons)</w:t>
      </w:r>
    </w:p>
    <w:p w14:paraId="280B17BB" w14:textId="541CC3BE" w:rsidR="009E6C2D" w:rsidRDefault="009E6C2D" w:rsidP="008238CD">
      <w:pPr>
        <w:pStyle w:val="ReviewSectionHeader"/>
        <w:rPr>
          <w:b w:val="0"/>
          <w:bCs w:val="0"/>
          <w:sz w:val="24"/>
          <w:szCs w:val="24"/>
        </w:rPr>
      </w:pPr>
      <w:r>
        <w:lastRenderedPageBreak/>
        <w:t xml:space="preserve">Ticket </w:t>
      </w:r>
      <w:r w:rsidRPr="0007035E">
        <w:t>Management</w:t>
      </w:r>
      <w:r w:rsidR="008238CD">
        <w:t xml:space="preserve"> </w:t>
      </w:r>
      <w:r w:rsidRPr="009E6C2D">
        <w:rPr>
          <w:b w:val="0"/>
          <w:bCs w:val="0"/>
          <w:sz w:val="24"/>
          <w:szCs w:val="24"/>
        </w:rPr>
        <w:t xml:space="preserve">(Release </w:t>
      </w:r>
      <w:r w:rsidRPr="009E6C2D">
        <w:rPr>
          <w:b w:val="0"/>
          <w:bCs w:val="0"/>
          <w:noProof/>
          <w:sz w:val="24"/>
          <w:szCs w:val="24"/>
        </w:rPr>
        <w:t>Branch?</w:t>
      </w:r>
      <w:r>
        <w:rPr>
          <w:b w:val="0"/>
          <w:bCs w:val="0"/>
          <w:noProof/>
          <w:sz w:val="24"/>
          <w:szCs w:val="24"/>
        </w:rPr>
        <w:t>,</w:t>
      </w:r>
      <w:r>
        <w:rPr>
          <w:b w:val="0"/>
          <w:bCs w:val="0"/>
          <w:sz w:val="24"/>
          <w:szCs w:val="24"/>
        </w:rPr>
        <w:t xml:space="preserve"> Testing Notes)</w:t>
      </w:r>
    </w:p>
    <w:p w14:paraId="2EEBAA3F" w14:textId="487C1080" w:rsidR="00CA792E" w:rsidRPr="009E6C2D" w:rsidRDefault="00CA792E" w:rsidP="00CA792E">
      <w:pPr>
        <w:pStyle w:val="ReviewSectionContent"/>
      </w:pPr>
      <w:r>
        <w:t>This change was checked in via two separate check-ins under two different work items.  Separate work items are not needed since it is the same ticket.</w:t>
      </w:r>
      <w:r w:rsidR="002C1694">
        <w:t xml:space="preserve">  Separate check-ins like this are not good because the </w:t>
      </w:r>
      <w:r w:rsidR="002C1694">
        <w:rPr>
          <w:noProof/>
        </w:rPr>
        <w:t>AdminTools</w:t>
      </w:r>
      <w:r w:rsidR="002C1694">
        <w:t xml:space="preserve"> changes have made it to the Release branch without the changes to the .NET form.  This must now be removed from the release branch before the AdminTools.dll can be released.  If you were concerned about loosing your changes, then a shelveset would have been a better choice.  If this work were done via a separate dedicated </w:t>
      </w:r>
      <w:r w:rsidR="00901444">
        <w:t>long-term</w:t>
      </w:r>
      <w:r w:rsidR="002C1694">
        <w:t xml:space="preserve"> branch, then this would not be a concern, but it is rare that this is done.</w:t>
      </w:r>
    </w:p>
    <w:p w14:paraId="25CF14B9" w14:textId="77777777" w:rsidR="00B8725B" w:rsidRDefault="00B8725B" w:rsidP="00B8725B">
      <w:pPr>
        <w:pStyle w:val="ReviewSectionContent"/>
      </w:pPr>
      <w:r>
        <w:t>The ticket requested to do this as part of the existing form, so a separate entry point should not be required.  Modifying or replacing the existing access (menu) and entry points would be fine (</w:t>
      </w:r>
      <w:r>
        <w:rPr>
          <w:noProof/>
        </w:rPr>
        <w:t>possibly UploadCustomFilesToDBOX</w:t>
      </w:r>
      <w:r>
        <w:t xml:space="preserve">).  It would be acceptable to leave the existing entry point in .NET in case a client receives the new .NET file, but not the caller, which is unlikely if only </w:t>
      </w:r>
      <w:r>
        <w:rPr>
          <w:noProof/>
        </w:rPr>
        <w:t>AdminTools</w:t>
      </w:r>
      <w:r>
        <w:t xml:space="preserve"> calls it.</w:t>
      </w:r>
      <w:r>
        <w:br/>
        <w:t>If there is a reason that this was not feasible, it should have been mentioned in the ticket.  In that case, the new form is not following the new UI standards.</w:t>
      </w:r>
      <w:r>
        <w:br/>
      </w:r>
      <w:r w:rsidRPr="00E92F3C">
        <w:drawing>
          <wp:inline distT="0" distB="0" distL="0" distR="0" wp14:anchorId="145ACB0F" wp14:editId="7A2CCDB8">
            <wp:extent cx="3905250" cy="1889637"/>
            <wp:effectExtent l="0" t="0" r="0" b="0"/>
            <wp:docPr id="4340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55171" name=""/>
                    <pic:cNvPicPr/>
                  </pic:nvPicPr>
                  <pic:blipFill>
                    <a:blip r:embed="rId9"/>
                    <a:stretch>
                      <a:fillRect/>
                    </a:stretch>
                  </pic:blipFill>
                  <pic:spPr>
                    <a:xfrm>
                      <a:off x="0" y="0"/>
                      <a:ext cx="3939057" cy="1905995"/>
                    </a:xfrm>
                    <a:prstGeom prst="rect">
                      <a:avLst/>
                    </a:prstGeom>
                  </pic:spPr>
                </pic:pic>
              </a:graphicData>
            </a:graphic>
          </wp:inline>
        </w:drawing>
      </w:r>
    </w:p>
    <w:p w14:paraId="5D5B1F1E" w14:textId="77777777" w:rsidR="00B8725B" w:rsidRDefault="00B8725B">
      <w:pPr>
        <w:rPr>
          <w:rFonts w:ascii="Sitka Small" w:hAnsi="Sitka Small"/>
          <w:b/>
          <w:bCs/>
          <w:color w:val="1F4E79" w:themeColor="accent5" w:themeShade="80"/>
          <w:sz w:val="32"/>
          <w:szCs w:val="32"/>
          <w:u w:val="single"/>
        </w:rPr>
      </w:pPr>
      <w:r>
        <w:br w:type="page"/>
      </w:r>
    </w:p>
    <w:p w14:paraId="77C7165A" w14:textId="7E1DEEB2" w:rsidR="006A0400" w:rsidRPr="000E228C" w:rsidRDefault="006A0400" w:rsidP="008238CD">
      <w:pPr>
        <w:pStyle w:val="ReviewSectionHeader"/>
        <w:rPr>
          <w:sz w:val="24"/>
          <w:szCs w:val="24"/>
        </w:rPr>
      </w:pPr>
      <w:r>
        <w:lastRenderedPageBreak/>
        <w:t>Extras</w:t>
      </w:r>
    </w:p>
    <w:p w14:paraId="0B92FFC2" w14:textId="024FE01F" w:rsidR="00E92F3C" w:rsidRDefault="00E92F3C" w:rsidP="00F512A8">
      <w:pPr>
        <w:pStyle w:val="ReviewSectionContent"/>
      </w:pPr>
      <w:r>
        <w:t xml:space="preserve">When checking in VB6 code (and .NET designer files) you need to compare the changes to </w:t>
      </w:r>
      <w:r w:rsidR="00182FC1">
        <w:t>look</w:t>
      </w:r>
      <w:r>
        <w:t xml:space="preserve"> for and remove unintentional automatic changes to the best of your ability.  These could have been avoid</w:t>
      </w:r>
      <w:r w:rsidR="00182FC1">
        <w:t>ed</w:t>
      </w:r>
      <w:r>
        <w:t xml:space="preserve"> via simple actions in VB6 or by manually manipulating the file outside of VB6.</w:t>
      </w:r>
      <w:r w:rsidR="002C1694">
        <w:t xml:space="preserve">  There are a few times where automatic changes are unavoidable, such as with Appearance vars in .NET designer files.</w:t>
      </w:r>
      <w:r w:rsidR="002C1694" w:rsidRPr="002C1694">
        <w:t xml:space="preserve"> </w:t>
      </w:r>
      <w:r>
        <w:br/>
      </w:r>
      <w:r w:rsidR="002C1694" w:rsidRPr="00E92F3C">
        <w:drawing>
          <wp:inline distT="0" distB="0" distL="0" distR="0" wp14:anchorId="7DA39507" wp14:editId="3E22A3DE">
            <wp:extent cx="3776472" cy="2103120"/>
            <wp:effectExtent l="0" t="0" r="0" b="0"/>
            <wp:docPr id="88870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02741" name=""/>
                    <pic:cNvPicPr/>
                  </pic:nvPicPr>
                  <pic:blipFill>
                    <a:blip r:embed="rId10"/>
                    <a:stretch>
                      <a:fillRect/>
                    </a:stretch>
                  </pic:blipFill>
                  <pic:spPr>
                    <a:xfrm>
                      <a:off x="0" y="0"/>
                      <a:ext cx="3776472" cy="2103120"/>
                    </a:xfrm>
                    <a:prstGeom prst="rect">
                      <a:avLst/>
                    </a:prstGeom>
                  </pic:spPr>
                </pic:pic>
              </a:graphicData>
            </a:graphic>
          </wp:inline>
        </w:drawing>
      </w:r>
      <w:r w:rsidR="002C1694">
        <w:br/>
      </w:r>
      <w:r w:rsidR="002C1694" w:rsidRPr="00E92F3C">
        <w:drawing>
          <wp:inline distT="0" distB="0" distL="0" distR="0" wp14:anchorId="390EED84" wp14:editId="51F561C6">
            <wp:extent cx="3383280" cy="1042416"/>
            <wp:effectExtent l="0" t="0" r="7620" b="5715"/>
            <wp:docPr id="125612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21547" name=""/>
                    <pic:cNvPicPr/>
                  </pic:nvPicPr>
                  <pic:blipFill>
                    <a:blip r:embed="rId11"/>
                    <a:stretch>
                      <a:fillRect/>
                    </a:stretch>
                  </pic:blipFill>
                  <pic:spPr>
                    <a:xfrm>
                      <a:off x="0" y="0"/>
                      <a:ext cx="3383280" cy="1042416"/>
                    </a:xfrm>
                    <a:prstGeom prst="rect">
                      <a:avLst/>
                    </a:prstGeom>
                  </pic:spPr>
                </pic:pic>
              </a:graphicData>
            </a:graphic>
          </wp:inline>
        </w:drawing>
      </w:r>
    </w:p>
    <w:p w14:paraId="1D4179CE" w14:textId="21FC8B0D" w:rsidR="00B8725B" w:rsidRDefault="00FA61E3" w:rsidP="00F512A8">
      <w:pPr>
        <w:pStyle w:val="ReviewSectionContent"/>
      </w:pPr>
      <w:r>
        <w:t>The new form does not include the DBOX Site column</w:t>
      </w:r>
      <w:r w:rsidR="00533112">
        <w:t xml:space="preserve"> in the main table</w:t>
      </w:r>
      <w:r>
        <w:t xml:space="preserve"> which was included to add confidence to the user that the correct site was being updated.  I recognize that this does not work for Golden since they have 2 sites for 1 ActiveM, but from what I know, they are the only ones.</w:t>
      </w:r>
    </w:p>
    <w:p w14:paraId="706F36E1" w14:textId="77777777" w:rsidR="00B8725B" w:rsidRDefault="00B8725B">
      <w:pPr>
        <w:rPr>
          <w:rFonts w:ascii="Sitka Small" w:hAnsi="Sitka Small"/>
          <w:bCs/>
          <w:color w:val="1F4E79" w:themeColor="accent5" w:themeShade="80"/>
          <w:sz w:val="24"/>
          <w:szCs w:val="24"/>
        </w:rPr>
      </w:pPr>
      <w:r>
        <w:br w:type="page"/>
      </w:r>
    </w:p>
    <w:p w14:paraId="3605FD74" w14:textId="23CDA97E" w:rsidR="00533112" w:rsidRDefault="00533112" w:rsidP="00E16B70">
      <w:pPr>
        <w:pStyle w:val="ReviewSectionContent"/>
      </w:pPr>
      <w:r>
        <w:lastRenderedPageBreak/>
        <w:t xml:space="preserve">The Reports form </w:t>
      </w:r>
      <w:r w:rsidR="00CD7887">
        <w:t>was created</w:t>
      </w:r>
      <w:r>
        <w:t xml:space="preserve"> to </w:t>
      </w:r>
      <w:r w:rsidR="00CD7887">
        <w:t xml:space="preserve">enable </w:t>
      </w:r>
      <w:r>
        <w:t>upload</w:t>
      </w:r>
      <w:r w:rsidR="00CD7887">
        <w:t>ing</w:t>
      </w:r>
      <w:r>
        <w:t xml:space="preserve"> for all </w:t>
      </w:r>
      <w:r>
        <w:rPr>
          <w:noProof/>
        </w:rPr>
        <w:t>ActiveMs</w:t>
      </w:r>
      <w:r w:rsidR="00CD7887">
        <w:t xml:space="preserve">, and thus can have several rows in the main table.  Since the new form is showing the </w:t>
      </w:r>
      <w:r w:rsidR="00CA792E">
        <w:t>child</w:t>
      </w:r>
      <w:r w:rsidR="00CD7887">
        <w:t xml:space="preserve"> table instead, the user cannot </w:t>
      </w:r>
      <w:r w:rsidR="00CA792E">
        <w:t xml:space="preserve">see what site they are updating.  </w:t>
      </w:r>
      <w:r w:rsidR="00C34100">
        <w:t>I suggest that</w:t>
      </w:r>
      <w:r w:rsidR="00CA792E">
        <w:t xml:space="preserve"> the better solution is to show both tables in the grid</w:t>
      </w:r>
      <w:r w:rsidR="00C34100">
        <w:t>, binding to the dataset instead, allowing 2 table levels to be shown.</w:t>
      </w:r>
      <w:r w:rsidR="00CA792E">
        <w:br/>
      </w:r>
      <w:r w:rsidR="00CA792E" w:rsidRPr="00CA792E">
        <w:drawing>
          <wp:inline distT="0" distB="0" distL="0" distR="0" wp14:anchorId="39865A41" wp14:editId="7EF57ED7">
            <wp:extent cx="7530087" cy="1005547"/>
            <wp:effectExtent l="0" t="0" r="0" b="4445"/>
            <wp:docPr id="91250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09261" name=""/>
                    <pic:cNvPicPr/>
                  </pic:nvPicPr>
                  <pic:blipFill>
                    <a:blip r:embed="rId12"/>
                    <a:stretch>
                      <a:fillRect/>
                    </a:stretch>
                  </pic:blipFill>
                  <pic:spPr>
                    <a:xfrm>
                      <a:off x="0" y="0"/>
                      <a:ext cx="7730189" cy="1032268"/>
                    </a:xfrm>
                    <a:prstGeom prst="rect">
                      <a:avLst/>
                    </a:prstGeom>
                  </pic:spPr>
                </pic:pic>
              </a:graphicData>
            </a:graphic>
          </wp:inline>
        </w:drawing>
      </w:r>
    </w:p>
    <w:sectPr w:rsidR="00533112" w:rsidSect="00B8725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182FC1"/>
    <w:rsid w:val="002C1694"/>
    <w:rsid w:val="00322FA8"/>
    <w:rsid w:val="00385D28"/>
    <w:rsid w:val="003B0EF7"/>
    <w:rsid w:val="004414E5"/>
    <w:rsid w:val="00533112"/>
    <w:rsid w:val="006205F3"/>
    <w:rsid w:val="006A0400"/>
    <w:rsid w:val="006C5B4C"/>
    <w:rsid w:val="007516E9"/>
    <w:rsid w:val="007F1F3C"/>
    <w:rsid w:val="008238CD"/>
    <w:rsid w:val="00872841"/>
    <w:rsid w:val="00901444"/>
    <w:rsid w:val="009D56D0"/>
    <w:rsid w:val="009E6C2D"/>
    <w:rsid w:val="00A371D3"/>
    <w:rsid w:val="00A54965"/>
    <w:rsid w:val="00A73769"/>
    <w:rsid w:val="00A972AA"/>
    <w:rsid w:val="00B13DD1"/>
    <w:rsid w:val="00B8725B"/>
    <w:rsid w:val="00BF03AD"/>
    <w:rsid w:val="00C17A5E"/>
    <w:rsid w:val="00C25C41"/>
    <w:rsid w:val="00C34100"/>
    <w:rsid w:val="00CA792E"/>
    <w:rsid w:val="00CD7887"/>
    <w:rsid w:val="00DB7C00"/>
    <w:rsid w:val="00DE29EB"/>
    <w:rsid w:val="00E33201"/>
    <w:rsid w:val="00E92F3C"/>
    <w:rsid w:val="00F3288B"/>
    <w:rsid w:val="00FA61E3"/>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1641</TotalTime>
  <Pages>5</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Mark Dell</cp:lastModifiedBy>
  <cp:revision>22</cp:revision>
  <dcterms:created xsi:type="dcterms:W3CDTF">2023-02-02T16:46:00Z</dcterms:created>
  <dcterms:modified xsi:type="dcterms:W3CDTF">2023-09-22T20:42:00Z</dcterms:modified>
</cp:coreProperties>
</file>